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77"/>
        <w:tblW w:w="9747" w:type="dxa"/>
        <w:tblLayout w:type="fixed"/>
        <w:tblLook w:val="0000" w:firstRow="0" w:lastRow="0" w:firstColumn="0" w:lastColumn="0" w:noHBand="0" w:noVBand="0"/>
      </w:tblPr>
      <w:tblGrid>
        <w:gridCol w:w="1017"/>
        <w:gridCol w:w="2218"/>
        <w:gridCol w:w="3311"/>
        <w:gridCol w:w="3201"/>
      </w:tblGrid>
      <w:tr w:rsidR="00FD3CC2" w14:paraId="37A61286" w14:textId="77777777" w:rsidTr="00C749B3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109EBA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PISANA PRIPREMA ZA NASTAVNI SAT GEOGRAFIJE</w:t>
            </w:r>
          </w:p>
        </w:tc>
      </w:tr>
      <w:tr w:rsidR="00FD3CC2" w14:paraId="4D3AFDD9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21670F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Naziv i sjedište škole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9620" w14:textId="1087C50D" w:rsidR="00FD3CC2" w:rsidRPr="00FD3CC2" w:rsidRDefault="00215389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15389">
              <w:rPr>
                <w:rFonts w:ascii="Times New Roman" w:eastAsia="Times New Roman" w:hAnsi="Times New Roman" w:cs="Times New Roman"/>
              </w:rPr>
              <w:t>Osnovna škola Tituša Brezovačkog, Zagreb</w:t>
            </w:r>
          </w:p>
        </w:tc>
      </w:tr>
      <w:tr w:rsidR="00FD3CC2" w14:paraId="63799F35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295ED2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Obrazovni program (zanimanje)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9B32" w14:textId="77777777" w:rsidR="00FD3CC2" w:rsidRP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3CC2">
              <w:rPr>
                <w:rFonts w:ascii="Times New Roman" w:eastAsia="Times New Roman" w:hAnsi="Times New Roman" w:cs="Times New Roman"/>
              </w:rPr>
              <w:t>osnovna škola</w:t>
            </w:r>
          </w:p>
        </w:tc>
      </w:tr>
      <w:tr w:rsidR="00FD3CC2" w14:paraId="2CD8B189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DDB07C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Ime i prezime nastavnika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6508" w14:textId="64D4FF07" w:rsidR="00FD3CC2" w:rsidRPr="00FD3CC2" w:rsidRDefault="00215389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Šimun Nejašmić </w:t>
            </w:r>
          </w:p>
        </w:tc>
      </w:tr>
      <w:tr w:rsidR="00FD3CC2" w14:paraId="497C1748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1F8F24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Datum izvođenja nastavnog sata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1EAA" w14:textId="08B65DFF" w:rsidR="00FD3CC2" w:rsidRPr="00FD3CC2" w:rsidRDefault="004137C9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  <w:r w:rsidR="00215389">
              <w:rPr>
                <w:rFonts w:ascii="Times New Roman" w:eastAsia="Times New Roman" w:hAnsi="Times New Roman" w:cs="Times New Roman"/>
              </w:rPr>
              <w:t xml:space="preserve"> 2. 2024. </w:t>
            </w:r>
          </w:p>
        </w:tc>
      </w:tr>
      <w:tr w:rsidR="00FD3CC2" w14:paraId="112D66B9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95EF7C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Naziv nastavne jedinice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4914" w14:textId="0A758BAC" w:rsidR="00FD3CC2" w:rsidRPr="00FD3CC2" w:rsidRDefault="00215389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Migracije </w:t>
            </w:r>
          </w:p>
        </w:tc>
      </w:tr>
      <w:tr w:rsidR="00FD3CC2" w14:paraId="49AB053A" w14:textId="77777777" w:rsidTr="00FD3CC2">
        <w:trPr>
          <w:trHeight w:val="70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CA94C3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Razred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B03E" w14:textId="7A7044FF" w:rsidR="00FD3CC2" w:rsidRPr="00FD3CC2" w:rsidRDefault="00215389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b</w:t>
            </w:r>
          </w:p>
        </w:tc>
      </w:tr>
      <w:tr w:rsidR="00FD3CC2" w14:paraId="78DD0074" w14:textId="77777777" w:rsidTr="00C749B3"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F45F95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Tip sata</w:t>
            </w: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A4FA" w14:textId="77777777" w:rsidR="00FD3CC2" w:rsidRP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D3CC2">
              <w:rPr>
                <w:rFonts w:ascii="Times New Roman" w:eastAsia="Times New Roman" w:hAnsi="Times New Roman" w:cs="Times New Roman"/>
              </w:rPr>
              <w:t>obrada</w:t>
            </w:r>
          </w:p>
        </w:tc>
      </w:tr>
      <w:tr w:rsidR="00FD3CC2" w14:paraId="7E4223DC" w14:textId="77777777" w:rsidTr="00C749B3">
        <w:trPr>
          <w:trHeight w:val="220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67693C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Kompetencije 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73D0FD2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Ishodi učenja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94A9C7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Zadatci kojima ću provjeriti ishode</w:t>
            </w:r>
          </w:p>
        </w:tc>
      </w:tr>
      <w:tr w:rsidR="00FD3CC2" w14:paraId="49BC2A93" w14:textId="77777777" w:rsidTr="00C749B3">
        <w:trPr>
          <w:trHeight w:val="1860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6B6B1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 Geografska znanja i vještine</w:t>
            </w:r>
          </w:p>
          <w:p w14:paraId="617B833C" w14:textId="77777777" w:rsidR="00FD3CC2" w:rsidRDefault="00FD3CC2" w:rsidP="00C749B3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A6673F4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8352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CA3074" w14:textId="51E07709" w:rsidR="00215389" w:rsidRPr="00215389" w:rsidRDefault="00215389" w:rsidP="002153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</w:t>
            </w:r>
            <w:r w:rsidR="000A2542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definirati migracije</w:t>
            </w:r>
          </w:p>
          <w:p w14:paraId="6BB1A9E1" w14:textId="7D04782B" w:rsidR="00215389" w:rsidRPr="00215389" w:rsidRDefault="00215389" w:rsidP="002153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</w:t>
            </w:r>
            <w:r w:rsidR="000A2542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navesti čimbenike koji utječu na selidbenu (migracijsku) promjenu</w:t>
            </w:r>
          </w:p>
          <w:p w14:paraId="620D6C30" w14:textId="77777777" w:rsidR="00FD3CC2" w:rsidRDefault="00215389" w:rsidP="000A25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Carlito" w:hAnsi="Times New Roman" w:cs="Times New Roman"/>
                <w:color w:val="auto"/>
                <w:lang w:eastAsia="en-US"/>
              </w:rPr>
            </w:pP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</w:t>
            </w:r>
            <w:r w:rsidR="000A2542">
              <w:rPr>
                <w:rFonts w:ascii="Times New Roman" w:eastAsia="Carlito" w:hAnsi="Times New Roman" w:cs="Times New Roman"/>
                <w:color w:val="auto"/>
                <w:lang w:eastAsia="en-US"/>
              </w:rPr>
              <w:t xml:space="preserve">navesti čimbenike koji utječu na opće (ukupno) kretanje stanovništva </w:t>
            </w:r>
          </w:p>
          <w:p w14:paraId="1933B24D" w14:textId="77777777" w:rsidR="000A2542" w:rsidRDefault="000A2542" w:rsidP="000A25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Carlito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rlito" w:hAnsi="Times New Roman" w:cs="Times New Roman"/>
                <w:color w:val="auto"/>
                <w:lang w:eastAsia="en-US"/>
              </w:rPr>
              <w:t xml:space="preserve">- objasniti glavne uzroke i posljedice migracija </w:t>
            </w:r>
          </w:p>
          <w:p w14:paraId="2B3E9C95" w14:textId="2F310E77" w:rsidR="000A1AEF" w:rsidRPr="00215389" w:rsidRDefault="000A1AEF" w:rsidP="000A25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98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color w:val="auto"/>
                <w:lang w:eastAsia="en-US"/>
              </w:rPr>
              <w:t xml:space="preserve">- objasniti podjele migracija prema prostornom dosegu, trajanju i uzroku </w:t>
            </w:r>
            <w:r w:rsidR="006E032D">
              <w:rPr>
                <w:rFonts w:ascii="Times New Roman" w:eastAsia="Carlito" w:hAnsi="Times New Roman" w:cs="Times New Roman"/>
                <w:color w:val="auto"/>
                <w:lang w:eastAsia="en-US"/>
              </w:rPr>
              <w:t>i navesti nekoliko primjera iz svakodnevnog života za svaku podjelu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250D" w14:textId="77777777" w:rsidR="00FD3CC2" w:rsidRDefault="00FD3CC2" w:rsidP="00215389">
            <w:pPr>
              <w:pStyle w:val="Odlomakpopisa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434829B" w14:textId="48B2616C" w:rsidR="00215389" w:rsidRPr="00215389" w:rsidRDefault="00215389" w:rsidP="002153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1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</w:t>
            </w:r>
            <w:r w:rsidR="000A2542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Što su migracije</w:t>
            </w: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? </w:t>
            </w:r>
          </w:p>
          <w:p w14:paraId="59C6EDE1" w14:textId="42A47627" w:rsidR="00215389" w:rsidRPr="00215389" w:rsidRDefault="00215389" w:rsidP="002153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1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-</w:t>
            </w:r>
            <w:r w:rsidR="000A2542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Što utječe na selidbenu (migracijsku) promjenu? </w:t>
            </w:r>
          </w:p>
          <w:p w14:paraId="3FA0B511" w14:textId="79C359A9" w:rsidR="00215389" w:rsidRPr="00215389" w:rsidRDefault="00215389" w:rsidP="0021538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1"/>
              </w:tabs>
              <w:autoSpaceDE w:val="0"/>
              <w:autoSpaceDN w:val="0"/>
              <w:spacing w:after="0" w:line="247" w:lineRule="exact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-</w:t>
            </w:r>
            <w:r w:rsidR="000A2542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Što utječe na opće (ukupno) kretanje stanovništva</w:t>
            </w:r>
            <w:r w:rsidRPr="0021538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?</w:t>
            </w:r>
          </w:p>
          <w:p w14:paraId="7587C0BE" w14:textId="77777777" w:rsidR="000A1AEF" w:rsidRDefault="000A1AEF" w:rsidP="00215389">
            <w:pPr>
              <w:spacing w:after="0"/>
              <w:rPr>
                <w:rFonts w:ascii="Times New Roman" w:eastAsia="Carlito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rlito" w:hAnsi="Times New Roman" w:cs="Times New Roman"/>
                <w:color w:val="auto"/>
                <w:lang w:eastAsia="en-US"/>
              </w:rPr>
              <w:t xml:space="preserve">- Zbog čega se odvijaju migracije? Koje su glavne posljedice migracija? </w:t>
            </w:r>
          </w:p>
          <w:p w14:paraId="0650182D" w14:textId="47D7FA8E" w:rsidR="00215389" w:rsidRPr="00215389" w:rsidRDefault="000A1AEF" w:rsidP="0021538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rlito" w:hAnsi="Times New Roman" w:cs="Times New Roman"/>
                <w:color w:val="auto"/>
                <w:lang w:eastAsia="en-US"/>
              </w:rPr>
              <w:t xml:space="preserve">-  Kako dijelimo migracije prema prostornom dosegu, trajanju i uzroku? </w:t>
            </w:r>
            <w:r w:rsidR="006E032D">
              <w:rPr>
                <w:rFonts w:ascii="Times New Roman" w:eastAsia="Carlito" w:hAnsi="Times New Roman" w:cs="Times New Roman"/>
                <w:color w:val="auto"/>
                <w:lang w:eastAsia="en-US"/>
              </w:rPr>
              <w:t xml:space="preserve">Navedi nekoliko primjera unutarnjih, vanjskih, stalnih i privremenih migracija iz svakodnevnog života </w:t>
            </w:r>
          </w:p>
        </w:tc>
      </w:tr>
      <w:tr w:rsidR="00FD3CC2" w14:paraId="23AE3E69" w14:textId="77777777" w:rsidTr="00CD48E3">
        <w:trPr>
          <w:trHeight w:val="857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A1408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 Metodička kompetencija</w:t>
            </w:r>
          </w:p>
          <w:p w14:paraId="479F4D73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EC2A7" w14:textId="5BD2B43D" w:rsidR="00CD48E3" w:rsidRPr="00D27D83" w:rsidRDefault="00946749" w:rsidP="00D27D8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unaprijediti sposobnost selekcije najbitnijih sadržaja korištenjem metode heurističkog razgovora </w:t>
            </w:r>
          </w:p>
        </w:tc>
      </w:tr>
      <w:tr w:rsidR="00FD3CC2" w14:paraId="73C0C532" w14:textId="77777777" w:rsidTr="00CD48E3">
        <w:trPr>
          <w:trHeight w:val="557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D0F65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 Komunikacijska kompetencija</w:t>
            </w:r>
          </w:p>
          <w:p w14:paraId="1A6479F3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2E77" w14:textId="7224DFD1" w:rsidR="001E1CC9" w:rsidRDefault="001E1CC9" w:rsidP="001E1CC9">
            <w:pPr>
              <w:pStyle w:val="TableParagraph"/>
              <w:tabs>
                <w:tab w:val="left" w:pos="398"/>
              </w:tabs>
              <w:spacing w:before="39"/>
            </w:pPr>
            <w:r>
              <w:rPr>
                <w:sz w:val="20"/>
                <w:szCs w:val="20"/>
              </w:rPr>
              <w:t xml:space="preserve"> - </w:t>
            </w:r>
            <w:r>
              <w:t>unaprijediti sposobnost slušanja drugog</w:t>
            </w:r>
          </w:p>
          <w:p w14:paraId="1BA71441" w14:textId="3F8C1442" w:rsidR="00FD3CC2" w:rsidRPr="001E1CC9" w:rsidRDefault="001E1CC9" w:rsidP="001E1CC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E1CC9">
              <w:rPr>
                <w:rFonts w:ascii="Times New Roman" w:hAnsi="Times New Roman" w:cs="Times New Roman"/>
              </w:rPr>
              <w:t>- unaprijediti sposobnost usmenog</w:t>
            </w:r>
            <w:r w:rsidR="00946749">
              <w:rPr>
                <w:rFonts w:ascii="Times New Roman" w:hAnsi="Times New Roman" w:cs="Times New Roman"/>
              </w:rPr>
              <w:t xml:space="preserve"> i pisanog</w:t>
            </w:r>
            <w:r w:rsidRPr="001E1CC9">
              <w:rPr>
                <w:rFonts w:ascii="Times New Roman" w:hAnsi="Times New Roman" w:cs="Times New Roman"/>
              </w:rPr>
              <w:t xml:space="preserve"> izražavanja</w:t>
            </w:r>
          </w:p>
        </w:tc>
      </w:tr>
      <w:tr w:rsidR="00FD3CC2" w14:paraId="49910063" w14:textId="77777777" w:rsidTr="00C749B3">
        <w:trPr>
          <w:trHeight w:val="200"/>
        </w:trPr>
        <w:tc>
          <w:tcPr>
            <w:tcW w:w="3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A0939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 Socijalna kompetencija</w:t>
            </w:r>
          </w:p>
          <w:p w14:paraId="2A20A580" w14:textId="77777777" w:rsidR="00FD3CC2" w:rsidRDefault="00FD3CC2" w:rsidP="00C749B3">
            <w:pPr>
              <w:spacing w:after="0"/>
              <w:ind w:left="72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179F884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2E816" w14:textId="77777777" w:rsidR="000A1AEF" w:rsidRDefault="001E1CC9" w:rsidP="000A1AEF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E1CC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1E1CC9">
              <w:rPr>
                <w:rFonts w:ascii="Times New Roman" w:eastAsia="Times New Roman" w:hAnsi="Times New Roman" w:cs="Times New Roman"/>
              </w:rPr>
              <w:t xml:space="preserve">razviti svijest o </w:t>
            </w:r>
            <w:r w:rsidR="000A1AEF">
              <w:rPr>
                <w:rFonts w:ascii="Times New Roman" w:eastAsia="Times New Roman" w:hAnsi="Times New Roman" w:cs="Times New Roman"/>
              </w:rPr>
              <w:t xml:space="preserve">utjecaju nejednakog gospodarskog razvoja u svijetu na prostorna kretanja stanovništva </w:t>
            </w:r>
          </w:p>
          <w:p w14:paraId="7F3FB1B2" w14:textId="4394F33B" w:rsidR="00FD3CC2" w:rsidRPr="001E1CC9" w:rsidRDefault="001E1CC9" w:rsidP="000A1AE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CC9">
              <w:rPr>
                <w:rFonts w:ascii="Times New Roman" w:eastAsia="Times New Roman" w:hAnsi="Times New Roman" w:cs="Times New Roman"/>
              </w:rPr>
              <w:t xml:space="preserve">- razviti svijest o </w:t>
            </w:r>
            <w:r w:rsidR="00F55247">
              <w:rPr>
                <w:rFonts w:ascii="Times New Roman" w:eastAsia="Times New Roman" w:hAnsi="Times New Roman" w:cs="Times New Roman"/>
              </w:rPr>
              <w:t xml:space="preserve">važnosti organiziranog upravljanja migracijskim tokovima </w:t>
            </w:r>
          </w:p>
        </w:tc>
      </w:tr>
      <w:tr w:rsidR="00FD3CC2" w14:paraId="5DB75E68" w14:textId="77777777" w:rsidTr="00C749B3">
        <w:tc>
          <w:tcPr>
            <w:tcW w:w="9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A038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TIJEK NASTAVNOG SATA</w:t>
            </w:r>
          </w:p>
        </w:tc>
      </w:tr>
      <w:tr w:rsidR="00FD3CC2" w14:paraId="156D733D" w14:textId="77777777" w:rsidTr="00C749B3">
        <w:trPr>
          <w:trHeight w:val="50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ADA25B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Etape sata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3A7073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Cilj etape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F8BB20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Opis aktivnosti učitelja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2FA22D" w14:textId="77777777" w:rsidR="00FD3CC2" w:rsidRDefault="00FD3CC2" w:rsidP="00C749B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Opis aktivnosti učenika</w:t>
            </w:r>
          </w:p>
        </w:tc>
      </w:tr>
      <w:tr w:rsidR="00FD3CC2" w14:paraId="628CA880" w14:textId="77777777" w:rsidTr="00534D03">
        <w:trPr>
          <w:trHeight w:val="558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EAAB4D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Uvod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6F08" w14:textId="0BBE3986" w:rsidR="00FD3CC2" w:rsidRDefault="00D00BCF" w:rsidP="00D00BCF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FD3C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55247">
              <w:rPr>
                <w:rFonts w:ascii="Times New Roman" w:eastAsia="Times New Roman" w:hAnsi="Times New Roman" w:cs="Times New Roman"/>
                <w:sz w:val="20"/>
                <w:szCs w:val="20"/>
              </w:rPr>
              <w:t>poticanje znatiželje</w:t>
            </w:r>
          </w:p>
          <w:p w14:paraId="4E425960" w14:textId="77777777" w:rsidR="00FD3CC2" w:rsidRDefault="00FD3CC2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6B9F0D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C19422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E5CB118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502D044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FCA5EF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2768482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9832C2" w14:textId="21EAC555" w:rsidR="00FD3CC2" w:rsidRDefault="00FD3CC2" w:rsidP="00D00BCF">
            <w:pPr>
              <w:spacing w:after="0"/>
              <w:contextualSpacing/>
              <w:rPr>
                <w:sz w:val="20"/>
                <w:szCs w:val="20"/>
              </w:rPr>
            </w:pPr>
          </w:p>
          <w:p w14:paraId="60E03855" w14:textId="77777777" w:rsidR="00FD3CC2" w:rsidRDefault="00FD3CC2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DDF863" w14:textId="77777777" w:rsidR="00ED6AB7" w:rsidRDefault="00ED6AB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C1F0F5A" w14:textId="5907932C" w:rsidR="00FD3CC2" w:rsidRDefault="00D00BCF" w:rsidP="00D00BCF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FD3C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najava cilja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8E33" w14:textId="041AE9A9" w:rsidR="001E1CC9" w:rsidRPr="001E1CC9" w:rsidRDefault="001E1CC9" w:rsidP="001E1CC9">
            <w:pPr>
              <w:spacing w:before="32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E1CC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- Metodom razgovora </w:t>
            </w:r>
            <w:r w:rsidR="00382B6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potiče učenike da navedu neke primjere preseljenja iz jednog mjesta u drugo u obitelji,  rodbini ili među prijateljima učenika. Potom pita pojedine učenike o podrobnijim informacijama (Tko je odselio? Kada?, Zašto?, Planira li se vratiti?)</w:t>
            </w:r>
          </w:p>
          <w:p w14:paraId="1B62B61A" w14:textId="1F50FEF0" w:rsidR="00ED6AB7" w:rsidRDefault="00ED6AB7" w:rsidP="00ED6A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277A9E" w14:textId="54D5017A" w:rsidR="00534D03" w:rsidRPr="00534D03" w:rsidRDefault="00EB233C" w:rsidP="00534D0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137B2B">
              <w:rPr>
                <w:rFonts w:ascii="Times New Roman" w:eastAsia="Times New Roman" w:hAnsi="Times New Roman" w:cs="Times New Roman"/>
              </w:rPr>
              <w:t xml:space="preserve">Nakon dobivenih odgovora govori </w:t>
            </w:r>
            <w:r w:rsidRPr="00137B2B">
              <w:rPr>
                <w:rFonts w:ascii="Times New Roman" w:eastAsia="Times New Roman" w:hAnsi="Times New Roman" w:cs="Times New Roman"/>
              </w:rPr>
              <w:lastRenderedPageBreak/>
              <w:t xml:space="preserve">učenicima kako će na današnjem satu </w:t>
            </w:r>
            <w:r w:rsidR="00137B2B" w:rsidRPr="00137B2B">
              <w:rPr>
                <w:rFonts w:ascii="Times New Roman" w:eastAsia="Times New Roman" w:hAnsi="Times New Roman" w:cs="Times New Roman"/>
              </w:rPr>
              <w:t xml:space="preserve">usvojiti nova znanja o prostornom kretanju stanovništva – migracijama 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AC7E1" w14:textId="45E9EA51" w:rsidR="003B71DE" w:rsidRDefault="00D00BCF" w:rsidP="00382B65">
            <w:pPr>
              <w:pStyle w:val="TableParagraph"/>
              <w:tabs>
                <w:tab w:val="left" w:pos="482"/>
                <w:tab w:val="left" w:pos="1545"/>
                <w:tab w:val="left" w:pos="2325"/>
                <w:tab w:val="left" w:pos="2509"/>
              </w:tabs>
              <w:spacing w:line="290" w:lineRule="atLeast"/>
              <w:ind w:right="102"/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>
              <w:t xml:space="preserve">- Učenici odgovaraju na učiteljeva pitanja: </w:t>
            </w:r>
            <w:r w:rsidR="00382B65">
              <w:t>„Odselila je rodbina, prijatelji, susjed. Odselili su npr. u Irsku, Njemačku“</w:t>
            </w:r>
            <w:r w:rsidR="00EB233C">
              <w:t>, „Zbog boljih prilika za zaposlenje i zaradu u inozemstvu“ „Vratili su se prije godinu dana“, „Vratit će se, ali poslije“, „Ne planiraju se vratiti“</w:t>
            </w:r>
          </w:p>
          <w:p w14:paraId="1459EE24" w14:textId="0ED6F5BA" w:rsidR="00BD706B" w:rsidRPr="00D27D83" w:rsidRDefault="00BD706B" w:rsidP="00D00BC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10E75726" w14:textId="77777777" w:rsidR="00BD706B" w:rsidRPr="00D27D83" w:rsidRDefault="00BD706B" w:rsidP="00D00BCF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5B764046" w14:textId="5F0CE0B4" w:rsidR="00BD706B" w:rsidRPr="00D00BCF" w:rsidRDefault="00BD706B" w:rsidP="00D00BC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>Bilježe naslov nastavne jedinice u svoje bilježnice</w:t>
            </w:r>
          </w:p>
        </w:tc>
      </w:tr>
      <w:tr w:rsidR="00FD3CC2" w14:paraId="2790D58E" w14:textId="77777777" w:rsidTr="00CD48E3">
        <w:trPr>
          <w:trHeight w:val="1126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2925FE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Glavni dio sata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0FE7" w14:textId="244EF85B" w:rsidR="00FD3CC2" w:rsidRPr="00D27D83" w:rsidRDefault="00E310F7" w:rsidP="00700F99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>- usvojiti temeljne pojmove (</w:t>
            </w:r>
            <w:r w:rsidR="00534D03">
              <w:rPr>
                <w:rFonts w:ascii="Times New Roman" w:eastAsia="Times New Roman" w:hAnsi="Times New Roman" w:cs="Times New Roman"/>
              </w:rPr>
              <w:t xml:space="preserve">migracije, selidbena promjena, opće (ukupno) kretanje broja stanovnika </w:t>
            </w:r>
          </w:p>
          <w:p w14:paraId="3791E9B7" w14:textId="73BFE972" w:rsidR="00E310F7" w:rsidRPr="00D27D83" w:rsidRDefault="00E310F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</w:rPr>
            </w:pPr>
          </w:p>
          <w:p w14:paraId="246B9DB2" w14:textId="77777777" w:rsidR="00E310F7" w:rsidRPr="00D27D83" w:rsidRDefault="00E310F7" w:rsidP="00C749B3">
            <w:pPr>
              <w:spacing w:after="0"/>
              <w:ind w:left="258" w:hanging="142"/>
              <w:rPr>
                <w:rFonts w:ascii="Times New Roman" w:eastAsia="Times New Roman" w:hAnsi="Times New Roman" w:cs="Times New Roman"/>
              </w:rPr>
            </w:pPr>
          </w:p>
          <w:p w14:paraId="3A60C871" w14:textId="77777777" w:rsidR="00FD3CC2" w:rsidRPr="00D27D83" w:rsidRDefault="00FD3CC2" w:rsidP="00BD706B">
            <w:pPr>
              <w:spacing w:after="0"/>
              <w:contextualSpacing/>
            </w:pPr>
            <w:r w:rsidRPr="00D27D83">
              <w:rPr>
                <w:rFonts w:ascii="Times New Roman" w:eastAsia="Times New Roman" w:hAnsi="Times New Roman" w:cs="Times New Roman"/>
              </w:rPr>
              <w:t xml:space="preserve"> razvijati vještine:</w:t>
            </w:r>
          </w:p>
          <w:p w14:paraId="2DF66162" w14:textId="2F7C1540" w:rsidR="00FD3CC2" w:rsidRPr="00D27D83" w:rsidRDefault="00FD3CC2" w:rsidP="00BD706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 xml:space="preserve">usmenog izražavanja, organiziranja, dogovaranja, </w:t>
            </w:r>
            <w:r w:rsidR="00350692" w:rsidRPr="00D27D83">
              <w:rPr>
                <w:rFonts w:ascii="Times New Roman" w:eastAsia="Times New Roman" w:hAnsi="Times New Roman" w:cs="Times New Roman"/>
              </w:rPr>
              <w:t>slušanja drugih</w:t>
            </w:r>
            <w:r w:rsidR="006E032D">
              <w:rPr>
                <w:rFonts w:ascii="Times New Roman" w:eastAsia="Times New Roman" w:hAnsi="Times New Roman" w:cs="Times New Roman"/>
              </w:rPr>
              <w:t xml:space="preserve">, samostalnog zaključivanja </w:t>
            </w:r>
            <w:r w:rsidR="00350692" w:rsidRPr="00D27D83">
              <w:rPr>
                <w:rFonts w:ascii="Times New Roman" w:eastAsia="Times New Roman" w:hAnsi="Times New Roman" w:cs="Times New Roman"/>
              </w:rPr>
              <w:t xml:space="preserve"> </w:t>
            </w:r>
            <w:r w:rsidR="006E032D">
              <w:rPr>
                <w:rFonts w:ascii="Times New Roman" w:eastAsia="Times New Roman" w:hAnsi="Times New Roman" w:cs="Times New Roman"/>
              </w:rPr>
              <w:t>i slično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EE8A" w14:textId="4510D734" w:rsidR="00A041D0" w:rsidRDefault="00145006" w:rsidP="00A041D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Metodom heurističkog razgovora nastoji potaknuti učenike na usvajanje temeljnih pojmova vezanih uz migracije. Postavlja im pitanja: Kako biste svojim riječima rekli što su migracije? </w:t>
            </w:r>
            <w:r w:rsidR="00505CDB">
              <w:rPr>
                <w:rFonts w:ascii="Times New Roman" w:eastAsia="Times New Roman" w:hAnsi="Times New Roman" w:cs="Times New Roman"/>
              </w:rPr>
              <w:t xml:space="preserve">Čime su </w:t>
            </w:r>
            <w:r>
              <w:rPr>
                <w:rFonts w:ascii="Times New Roman" w:eastAsia="Times New Roman" w:hAnsi="Times New Roman" w:cs="Times New Roman"/>
              </w:rPr>
              <w:t>određ</w:t>
            </w:r>
            <w:r w:rsidR="00505CDB">
              <w:rPr>
                <w:rFonts w:ascii="Times New Roman" w:eastAsia="Times New Roman" w:hAnsi="Times New Roman" w:cs="Times New Roman"/>
              </w:rPr>
              <w:t>ene</w:t>
            </w:r>
            <w:r>
              <w:rPr>
                <w:rFonts w:ascii="Times New Roman" w:eastAsia="Times New Roman" w:hAnsi="Times New Roman" w:cs="Times New Roman"/>
              </w:rPr>
              <w:t xml:space="preserve"> migracije? Što </w:t>
            </w:r>
            <w:r w:rsidR="00505CDB">
              <w:rPr>
                <w:rFonts w:ascii="Times New Roman" w:eastAsia="Times New Roman" w:hAnsi="Times New Roman" w:cs="Times New Roman"/>
              </w:rPr>
              <w:t>bi bila</w:t>
            </w:r>
            <w:r>
              <w:rPr>
                <w:rFonts w:ascii="Times New Roman" w:eastAsia="Times New Roman" w:hAnsi="Times New Roman" w:cs="Times New Roman"/>
              </w:rPr>
              <w:t xml:space="preserve"> selidbena </w:t>
            </w:r>
            <w:r w:rsidR="00505CDB">
              <w:rPr>
                <w:rFonts w:ascii="Times New Roman" w:eastAsia="Times New Roman" w:hAnsi="Times New Roman" w:cs="Times New Roman"/>
              </w:rPr>
              <w:t xml:space="preserve"> ili </w:t>
            </w:r>
            <w:r>
              <w:rPr>
                <w:rFonts w:ascii="Times New Roman" w:eastAsia="Times New Roman" w:hAnsi="Times New Roman" w:cs="Times New Roman"/>
              </w:rPr>
              <w:t xml:space="preserve">migracijska promjena? </w:t>
            </w:r>
            <w:r w:rsidR="00505CDB">
              <w:rPr>
                <w:rFonts w:ascii="Times New Roman" w:eastAsia="Times New Roman" w:hAnsi="Times New Roman" w:cs="Times New Roman"/>
              </w:rPr>
              <w:t>Što još osim selidbi (migracija) utječe na kretanje broja stanovnika na nekom području</w:t>
            </w:r>
            <w:r w:rsidR="003026C5">
              <w:rPr>
                <w:rFonts w:ascii="Times New Roman" w:eastAsia="Times New Roman" w:hAnsi="Times New Roman" w:cs="Times New Roman"/>
              </w:rPr>
              <w:t xml:space="preserve"> (Prisjetite se prošle nastavne jedinice)!</w:t>
            </w:r>
            <w:r w:rsidR="00505CDB">
              <w:rPr>
                <w:rFonts w:ascii="Times New Roman" w:eastAsia="Times New Roman" w:hAnsi="Times New Roman" w:cs="Times New Roman"/>
              </w:rPr>
              <w:t xml:space="preserve"> Učitelj navodi učenike na „otkrivanje“ točnih odgovora, potiče ih na poštivanje pravila komunikacije i održava pozitivnu disciplinu u razredu</w:t>
            </w:r>
            <w:r w:rsidR="003026C5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321CAD26" w14:textId="1805A1FD" w:rsidR="003026C5" w:rsidRDefault="003026C5" w:rsidP="00A041D0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 trenutku kada učenici</w:t>
            </w:r>
            <w:r w:rsidR="00CF19D1">
              <w:rPr>
                <w:rFonts w:ascii="Times New Roman" w:eastAsia="Times New Roman" w:hAnsi="Times New Roman" w:cs="Times New Roman"/>
              </w:rPr>
              <w:t xml:space="preserve"> samostalno</w:t>
            </w:r>
            <w:r>
              <w:rPr>
                <w:rFonts w:ascii="Times New Roman" w:eastAsia="Times New Roman" w:hAnsi="Times New Roman" w:cs="Times New Roman"/>
              </w:rPr>
              <w:t xml:space="preserve"> odgovore na pitanja  pro</w:t>
            </w:r>
            <w:r w:rsidR="00CF19D1">
              <w:rPr>
                <w:rFonts w:ascii="Times New Roman" w:eastAsia="Times New Roman" w:hAnsi="Times New Roman" w:cs="Times New Roman"/>
              </w:rPr>
              <w:t xml:space="preserve">jicira odgovore u obliku natuknica na PPT prezentaciji </w:t>
            </w:r>
          </w:p>
          <w:p w14:paraId="474290D0" w14:textId="77777777" w:rsidR="003026C5" w:rsidRPr="00D27D83" w:rsidRDefault="003026C5" w:rsidP="00A041D0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3C66ECB3" w14:textId="6C3BBF1C" w:rsidR="00991413" w:rsidRDefault="00CF19D1" w:rsidP="0099141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 prelazi na drugi dio nastavne jedinice postavljajući učenicima pitanje: Što mislite. Što uzrokuje migracije?</w:t>
            </w:r>
          </w:p>
          <w:p w14:paraId="4B1F74EE" w14:textId="10D5ADB3" w:rsidR="00991413" w:rsidRDefault="00991413" w:rsidP="0099141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0755A55" w14:textId="61175275" w:rsidR="00991413" w:rsidRDefault="00991413" w:rsidP="0099141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56C33BC7" w14:textId="1AD92301" w:rsidR="00991413" w:rsidRDefault="00991413" w:rsidP="0099141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17208B72" w14:textId="6C9259F9" w:rsidR="00991413" w:rsidRPr="00D27D83" w:rsidRDefault="00991413" w:rsidP="0099141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Zatim postavlja pitanje: Što mislite, kakvi bi to bili potisni a kakvi privlačni čimbenici migracija?</w:t>
            </w:r>
          </w:p>
          <w:p w14:paraId="38DF57A9" w14:textId="77777777" w:rsidR="00881EC3" w:rsidRDefault="00881EC3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14BD088B" w14:textId="72853FBE" w:rsidR="006E032D" w:rsidRDefault="006E032D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CEB5268" w14:textId="77777777" w:rsidR="006E032D" w:rsidRDefault="006E032D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2EA16FF4" w14:textId="77777777" w:rsidR="006E032D" w:rsidRDefault="006E032D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Zatim zadaje učenicima zadatak da svrstaju uzroke migracija na privlačne i potisne </w:t>
            </w:r>
          </w:p>
          <w:p w14:paraId="6C2C0441" w14:textId="77777777" w:rsidR="00625FBC" w:rsidRDefault="00625FBC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59F979F" w14:textId="77777777" w:rsidR="00D17099" w:rsidRDefault="00625FBC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Nakon svrstavanja uzroka migracija u dvije skupine </w:t>
            </w:r>
            <w:r w:rsidR="00D17099">
              <w:rPr>
                <w:rFonts w:ascii="Times New Roman" w:eastAsia="Times New Roman" w:hAnsi="Times New Roman" w:cs="Times New Roman"/>
              </w:rPr>
              <w:t>potiče učenike na usvajanje sadržaja o vrstama migracija</w:t>
            </w:r>
          </w:p>
          <w:p w14:paraId="609E6386" w14:textId="77777777" w:rsidR="00625FBC" w:rsidRDefault="00D17099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Postavlja pitanja: Što mislite  kakvo se nazivaju one migracije koje se odvijaju unutar granica jedne države, a kako one koje se odvijaju između više država. Navedite primjer!</w:t>
            </w:r>
          </w:p>
          <w:p w14:paraId="05CC03BA" w14:textId="77777777" w:rsidR="00D17099" w:rsidRDefault="00D17099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6942462A" w14:textId="77777777" w:rsidR="00D17099" w:rsidRDefault="00D17099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543168D6" w14:textId="77777777" w:rsidR="00D17099" w:rsidRDefault="00D17099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Potom postavlja pitanja: Kako biste podijelili migracije prema trajnosti</w:t>
            </w:r>
            <w:r w:rsidR="00EB5885">
              <w:rPr>
                <w:rFonts w:ascii="Times New Roman" w:eastAsia="Times New Roman" w:hAnsi="Times New Roman" w:cs="Times New Roman"/>
              </w:rPr>
              <w:t>? Kako biste podijelili privremene migracije prema trajanju?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B5885">
              <w:rPr>
                <w:rFonts w:ascii="Times New Roman" w:eastAsia="Times New Roman" w:hAnsi="Times New Roman" w:cs="Times New Roman"/>
              </w:rPr>
              <w:t>Navedite primjere za svaku vrstu!</w:t>
            </w:r>
          </w:p>
          <w:p w14:paraId="51EBB0A9" w14:textId="77777777" w:rsidR="00416AAE" w:rsidRDefault="00416AAE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449F83FB" w14:textId="77777777" w:rsidR="00416AAE" w:rsidRDefault="00416AAE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5969CBB9" w14:textId="77777777" w:rsidR="00416AAE" w:rsidRDefault="00416AAE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472AD2E1" w14:textId="77777777" w:rsidR="00416AAE" w:rsidRDefault="00416AAE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F4DF92D" w14:textId="77777777" w:rsidR="00416AAE" w:rsidRDefault="00416AAE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AB52337" w14:textId="7B0285AD" w:rsidR="00416AAE" w:rsidRPr="00D27D83" w:rsidRDefault="00416AAE" w:rsidP="0080531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 završetku razgovora projicira sažetak naučenog na PPT prezentaciji 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E886" w14:textId="77777777" w:rsidR="00505CDB" w:rsidRDefault="00505CDB" w:rsidP="0014500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13D6808E" w14:textId="2B2427A6" w:rsidR="00350692" w:rsidRDefault="00700F99" w:rsidP="0014500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 xml:space="preserve">- </w:t>
            </w:r>
            <w:r w:rsidR="00145006">
              <w:rPr>
                <w:rFonts w:ascii="Times New Roman" w:eastAsia="Times New Roman" w:hAnsi="Times New Roman" w:cs="Times New Roman"/>
              </w:rPr>
              <w:t xml:space="preserve">Odgovaraju na učiteljeva pitanja: </w:t>
            </w:r>
            <w:r w:rsidR="00505CDB">
              <w:rPr>
                <w:rFonts w:ascii="Times New Roman" w:eastAsia="Times New Roman" w:hAnsi="Times New Roman" w:cs="Times New Roman"/>
              </w:rPr>
              <w:t>Migracije su selidbe stanovništva, kretanja stanovništva (u prostoru) ili slično, određene su useljavanjem i iseljavanjem, selid</w:t>
            </w:r>
            <w:r w:rsidR="003026C5">
              <w:rPr>
                <w:rFonts w:ascii="Times New Roman" w:eastAsia="Times New Roman" w:hAnsi="Times New Roman" w:cs="Times New Roman"/>
              </w:rPr>
              <w:t xml:space="preserve">bena ili migracijska promjena je razlika između broja doseljenih i broja odseljenih na nekom području. Na kretanje broja stanovnika osim migracija utječe još i prirodno kretanje stanovništva (stope rodnosti i smrtnosti) </w:t>
            </w:r>
          </w:p>
          <w:p w14:paraId="2511E2BF" w14:textId="3A349241" w:rsidR="00CF19D1" w:rsidRDefault="00CF19D1" w:rsidP="0014500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0DDB8B6D" w14:textId="3A8096D6" w:rsidR="00CF19D1" w:rsidRDefault="00CF19D1" w:rsidP="0014500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2275918" w14:textId="6A91E740" w:rsidR="00CF19D1" w:rsidRDefault="00CF19D1" w:rsidP="0014500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A617410" w14:textId="07AE86A6" w:rsidR="00CF19D1" w:rsidRDefault="00CF19D1" w:rsidP="0014500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4D703318" w14:textId="4DAEDC48" w:rsidR="00CF19D1" w:rsidRDefault="00CF19D1" w:rsidP="0014500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 najkraćim crtama prepisuju natuknice s PPT prezentacije u svoje bilježnice </w:t>
            </w:r>
          </w:p>
          <w:p w14:paraId="21637B8C" w14:textId="00876CD9" w:rsidR="00505CDB" w:rsidRDefault="00505CDB" w:rsidP="0014500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263D7251" w14:textId="77777777" w:rsidR="00991413" w:rsidRDefault="00881EC3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 xml:space="preserve">- </w:t>
            </w:r>
            <w:r w:rsidR="00991413">
              <w:rPr>
                <w:rFonts w:ascii="Times New Roman" w:eastAsia="Times New Roman" w:hAnsi="Times New Roman" w:cs="Times New Roman"/>
              </w:rPr>
              <w:t>Odgovaraju na pitanje: neimaština, ratovi, glad, klimatske promjene, bolje prilike za zaposlenje u razvijenijim državama, veći stupanj poštivanja ljudskih prava u razvijenijim državama i slično</w:t>
            </w:r>
          </w:p>
          <w:p w14:paraId="30F498D0" w14:textId="77777777" w:rsidR="00881EC3" w:rsidRDefault="00991413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(Uz učiteljevu pomoć) govore: </w:t>
            </w:r>
            <w:r w:rsidR="006E032D">
              <w:rPr>
                <w:rFonts w:ascii="Times New Roman" w:eastAsia="Times New Roman" w:hAnsi="Times New Roman" w:cs="Times New Roman"/>
              </w:rPr>
              <w:t xml:space="preserve">Potisni su čimbenici oni koji potiču odseljavanje iz nekog područja, a privlačni su čimbenici oni koji potiču doseljavanje u neko drugo područje.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9C31F13" w14:textId="6EA077E6" w:rsidR="006E032D" w:rsidRDefault="006E032D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Grupiraju uzroke migracija u dvije skupine i bilježe podjelu u svoje bilježnice </w:t>
            </w:r>
          </w:p>
          <w:p w14:paraId="1D24A6D9" w14:textId="222182B7" w:rsidR="00D17099" w:rsidRDefault="00D17099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AA05C93" w14:textId="750C7925" w:rsidR="00D17099" w:rsidRDefault="00D17099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7A90897B" w14:textId="15F73C6E" w:rsidR="00D17099" w:rsidRDefault="00D17099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48D60E78" w14:textId="56F5E882" w:rsidR="00D17099" w:rsidRDefault="00D17099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32E5B80A" w14:textId="31D2384B" w:rsidR="00D17099" w:rsidRDefault="00D17099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4DABEE2E" w14:textId="2ECB0797" w:rsidR="00D17099" w:rsidRDefault="00D17099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(Uz eventualno učiteljevo navođenje) odgovaraju: unutarnje/vanjske migracije:</w:t>
            </w:r>
          </w:p>
          <w:p w14:paraId="3DEF0240" w14:textId="1536154A" w:rsidR="00D17099" w:rsidRDefault="00D17099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14:paraId="56DB68A9" w14:textId="1E858AB4" w:rsidR="00D17099" w:rsidRDefault="00D17099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Primjer unutarnjih migracija: iz Slavonskog Broda u Zagreb, primjer vanjskih iz Slavonskog Broda u Irsku</w:t>
            </w:r>
          </w:p>
          <w:p w14:paraId="26B0F8A5" w14:textId="4EE9A59C" w:rsidR="00D17099" w:rsidRDefault="00EB5885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Odgovaraju na pitanje: stalne (konačne) i privremene</w:t>
            </w:r>
          </w:p>
          <w:p w14:paraId="6A9FDD02" w14:textId="77777777" w:rsidR="00D17099" w:rsidRDefault="00EB5885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Odgovaraju: dnevne/tjedne/sezonske/konačne</w:t>
            </w:r>
          </w:p>
          <w:p w14:paraId="6B24CF1F" w14:textId="7DAAE494" w:rsidR="00416AAE" w:rsidRDefault="00416AAE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Dnevne migracije: odlazak u školu iz Dugog sela u Zagreb, tjedne:  odlazak studenata iz Zagreba za vikend kod roditelja u Slavoniju</w:t>
            </w:r>
            <w:r w:rsidR="006F465C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sezonske: rad sezonskog radnika iz Zagreba na Jadranu</w:t>
            </w:r>
          </w:p>
          <w:p w14:paraId="7CCEE0BE" w14:textId="0DDEA904" w:rsidR="00EB5885" w:rsidRPr="00D27D83" w:rsidRDefault="00416AAE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 najkraćim crtama prepisuju sažetak naučenog u svoje bilježnice  </w:t>
            </w:r>
          </w:p>
        </w:tc>
      </w:tr>
      <w:tr w:rsidR="00FD3CC2" w14:paraId="5B924B2E" w14:textId="77777777" w:rsidTr="00C749B3">
        <w:trPr>
          <w:trHeight w:val="960"/>
        </w:trPr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5D7E3A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Završni dio sata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6882" w14:textId="3D596393" w:rsidR="00FD3CC2" w:rsidRPr="00D27D83" w:rsidRDefault="00FD3CC2" w:rsidP="00946749">
            <w:pPr>
              <w:spacing w:after="0"/>
              <w:contextualSpacing/>
            </w:pPr>
            <w:r w:rsidRPr="00D27D83">
              <w:rPr>
                <w:rFonts w:ascii="Times New Roman" w:eastAsia="Times New Roman" w:hAnsi="Times New Roman" w:cs="Times New Roman"/>
              </w:rPr>
              <w:t>primjena naučenog</w:t>
            </w:r>
          </w:p>
          <w:p w14:paraId="437643BB" w14:textId="77777777" w:rsidR="00FD3CC2" w:rsidRPr="00D27D83" w:rsidRDefault="00FD3CC2" w:rsidP="00C749B3">
            <w:pPr>
              <w:spacing w:after="0"/>
              <w:ind w:left="259" w:hanging="143"/>
              <w:rPr>
                <w:rFonts w:ascii="Times New Roman" w:eastAsia="Times New Roman" w:hAnsi="Times New Roman" w:cs="Times New Roman"/>
              </w:rPr>
            </w:pPr>
          </w:p>
          <w:p w14:paraId="33E04091" w14:textId="77777777" w:rsidR="00A765D5" w:rsidRDefault="00FD3CC2" w:rsidP="00625FBC">
            <w:pPr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1820E92" w14:textId="77777777" w:rsidR="00A765D5" w:rsidRDefault="00A765D5" w:rsidP="00625FBC">
            <w:pPr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5E74779D" w14:textId="77777777" w:rsidR="00A765D5" w:rsidRDefault="00A765D5" w:rsidP="00625FBC">
            <w:pPr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4FBA6677" w14:textId="77777777" w:rsidR="00A765D5" w:rsidRDefault="00A765D5" w:rsidP="00625FBC">
            <w:pPr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28232E94" w14:textId="77777777" w:rsidR="00946749" w:rsidRDefault="00946749" w:rsidP="00946749">
            <w:pPr>
              <w:spacing w:after="0"/>
              <w:contextualSpacing/>
              <w:rPr>
                <w:rFonts w:ascii="Times New Roman" w:eastAsia="Times New Roman" w:hAnsi="Times New Roman" w:cs="Times New Roman"/>
              </w:rPr>
            </w:pPr>
          </w:p>
          <w:p w14:paraId="2B112431" w14:textId="294DC8F5" w:rsidR="00FD3CC2" w:rsidRPr="00D27D83" w:rsidRDefault="00FD3CC2" w:rsidP="00946749">
            <w:pPr>
              <w:spacing w:after="0"/>
              <w:contextualSpacing/>
            </w:pPr>
            <w:r w:rsidRPr="00D27D83">
              <w:rPr>
                <w:rFonts w:ascii="Times New Roman" w:eastAsia="Times New Roman" w:hAnsi="Times New Roman" w:cs="Times New Roman"/>
              </w:rPr>
              <w:t>formativno vrednovanje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3BAD" w14:textId="0CF333EE" w:rsidR="00FD3CC2" w:rsidRPr="00D27D83" w:rsidRDefault="00881EC3" w:rsidP="00881EC3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>-</w:t>
            </w:r>
            <w:r w:rsidR="00416AAE">
              <w:rPr>
                <w:rFonts w:ascii="Times New Roman" w:eastAsia="Times New Roman" w:hAnsi="Times New Roman" w:cs="Times New Roman"/>
              </w:rPr>
              <w:t>Dijeli učenicima radni listić</w:t>
            </w:r>
            <w:r w:rsidR="00A765D5">
              <w:rPr>
                <w:rFonts w:ascii="Times New Roman" w:eastAsia="Times New Roman" w:hAnsi="Times New Roman" w:cs="Times New Roman"/>
              </w:rPr>
              <w:t xml:space="preserve"> (u prilogu), te im zadaje da u vremenu od 5 minuta odgovore na kratka pitanja kojima se provjerava usvojenost nastavnih sadržaja današnje nastavne jedinice </w:t>
            </w:r>
            <w:r w:rsidR="002C3AB0" w:rsidRPr="00D27D83">
              <w:rPr>
                <w:rFonts w:ascii="Times New Roman" w:eastAsia="Times New Roman" w:hAnsi="Times New Roman" w:cs="Times New Roman"/>
              </w:rPr>
              <w:t>. Provjer</w:t>
            </w:r>
            <w:r w:rsidR="00EC2CD0" w:rsidRPr="00D27D83">
              <w:rPr>
                <w:rFonts w:ascii="Times New Roman" w:eastAsia="Times New Roman" w:hAnsi="Times New Roman" w:cs="Times New Roman"/>
              </w:rPr>
              <w:t xml:space="preserve">ava </w:t>
            </w:r>
            <w:r w:rsidR="002C3AB0" w:rsidRPr="00D27D83">
              <w:rPr>
                <w:rFonts w:ascii="Times New Roman" w:eastAsia="Times New Roman" w:hAnsi="Times New Roman" w:cs="Times New Roman"/>
              </w:rPr>
              <w:t xml:space="preserve">uspješnost rješavanja zadataka. </w:t>
            </w:r>
            <w:r w:rsidR="00EC2CD0" w:rsidRPr="00D27D83">
              <w:rPr>
                <w:rFonts w:ascii="Times New Roman" w:eastAsia="Times New Roman" w:hAnsi="Times New Roman" w:cs="Times New Roman"/>
              </w:rPr>
              <w:t xml:space="preserve">Zadaje domaću zadaću (Zadaci vezani uz pripadajuću nastavnu jedinicu u radnoj bilježnici) 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C2773" w14:textId="4F033BEC" w:rsidR="00FD3CC2" w:rsidRPr="00D27D83" w:rsidRDefault="002C3AB0" w:rsidP="00BD706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D27D83">
              <w:rPr>
                <w:rFonts w:ascii="Times New Roman" w:eastAsia="Times New Roman" w:hAnsi="Times New Roman" w:cs="Times New Roman"/>
              </w:rPr>
              <w:t>Rješavaju</w:t>
            </w:r>
            <w:r w:rsidR="00EC2CD0" w:rsidRPr="00D27D83">
              <w:rPr>
                <w:rFonts w:ascii="Times New Roman" w:eastAsia="Times New Roman" w:hAnsi="Times New Roman" w:cs="Times New Roman"/>
              </w:rPr>
              <w:t xml:space="preserve"> radni listić, a potom odgovaraju na učiteljeva pitanja</w:t>
            </w:r>
            <w:r w:rsidRPr="00D27D83">
              <w:rPr>
                <w:rFonts w:ascii="Times New Roman" w:eastAsia="Times New Roman" w:hAnsi="Times New Roman" w:cs="Times New Roman"/>
              </w:rPr>
              <w:t>. Bilježe domaću zadaću.</w:t>
            </w:r>
          </w:p>
        </w:tc>
      </w:tr>
    </w:tbl>
    <w:p w14:paraId="165B0CD7" w14:textId="77777777" w:rsidR="00FD3CC2" w:rsidRDefault="00FD3CC2" w:rsidP="00FD3CC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E084183" w14:textId="77777777" w:rsidR="00FD3CC2" w:rsidRDefault="00FD3CC2" w:rsidP="00FD3CC2"/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FD3CC2" w14:paraId="6416704F" w14:textId="77777777" w:rsidTr="00C749B3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1B46" w14:textId="77ECFB72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 školske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ploče</w:t>
            </w:r>
            <w:r w:rsidR="00EC2C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141140B9" w14:textId="59772C0A" w:rsidR="00FD3CC2" w:rsidRDefault="00EC2CD0" w:rsidP="00491F9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Migracije </w:t>
            </w:r>
          </w:p>
          <w:p w14:paraId="7831F9D9" w14:textId="77777777" w:rsidR="00946749" w:rsidRDefault="00946749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Migracije – kretanja stanovništva u prostoru (selidbe) </w:t>
            </w:r>
          </w:p>
          <w:p w14:paraId="74B98447" w14:textId="77777777" w:rsidR="005838BD" w:rsidRDefault="00946749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Selidbena (migracijska) promjena: broj doseljenih (imigranata) – broj iseljenih (emigranata)   </w:t>
            </w:r>
          </w:p>
          <w:p w14:paraId="38351FE8" w14:textId="77777777" w:rsidR="00272270" w:rsidRDefault="00272270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Opće (ukupno) kretanje broja stanovnika = prirodna – selidbena promjena </w:t>
            </w:r>
          </w:p>
          <w:p w14:paraId="6EED5E9F" w14:textId="77777777" w:rsidR="00272270" w:rsidRDefault="00272270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Uzroci migracija: potisni i privlačni čimbenici</w:t>
            </w:r>
          </w:p>
          <w:p w14:paraId="793B4992" w14:textId="33315CD9" w:rsidR="00272270" w:rsidRDefault="00272270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potisni čimbenici: potiču odseljavanje: neimaština, ratovi, kršenje ljudskih prava</w:t>
            </w:r>
          </w:p>
          <w:p w14:paraId="07C3C0B6" w14:textId="77777777" w:rsidR="006F1EDD" w:rsidRDefault="006F1EDD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A45C898" w14:textId="77777777" w:rsidR="00272270" w:rsidRDefault="00272270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- privlačni čimbenici: potiču doseljavanje na drugo područje: bolje mogućnost zapošljavanja, bolja zarada, </w:t>
            </w:r>
            <w:r w:rsidR="006F1E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poštivanje ljudskih prava, </w:t>
            </w:r>
          </w:p>
          <w:p w14:paraId="6412BE62" w14:textId="77777777" w:rsidR="006F1EDD" w:rsidRDefault="006F1EDD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Vrste migracija: </w:t>
            </w:r>
          </w:p>
          <w:p w14:paraId="0E20AD90" w14:textId="77777777" w:rsidR="006F1EDD" w:rsidRDefault="006F1EDD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a) prema prostornom dosegu: unutarnje (unutar granica države) i vanjske (između više država) </w:t>
            </w:r>
          </w:p>
          <w:p w14:paraId="2CAC2BBB" w14:textId="5508236F" w:rsidR="006F1EDD" w:rsidRPr="00EC2CD0" w:rsidRDefault="006F1EDD" w:rsidP="0027227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b) prema trajnosti: dnevne/tjedne/sezonske/konačne </w:t>
            </w:r>
          </w:p>
        </w:tc>
      </w:tr>
    </w:tbl>
    <w:p w14:paraId="4BDF7C90" w14:textId="77777777" w:rsidR="00FD3CC2" w:rsidRDefault="00FD3CC2" w:rsidP="00FD3CC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FD3CC2" w14:paraId="03164F7E" w14:textId="77777777" w:rsidTr="00C749B3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6F70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Nastavne metode</w:t>
            </w:r>
          </w:p>
          <w:p w14:paraId="2651EE56" w14:textId="3F223D68" w:rsidR="00491F9F" w:rsidRPr="00491F9F" w:rsidRDefault="006F1EDD" w:rsidP="00C74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491F9F">
              <w:rPr>
                <w:rFonts w:ascii="Times New Roman" w:eastAsia="Times New Roman" w:hAnsi="Times New Roman" w:cs="Times New Roman"/>
                <w:sz w:val="24"/>
                <w:szCs w:val="24"/>
              </w:rPr>
              <w:t>etoda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heurističkog</w:t>
            </w:r>
            <w:r w:rsidR="00491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razgovora, metoda usmenog izlaganja, metoda demonstr</w:t>
            </w:r>
            <w:r w:rsidR="00165F69">
              <w:rPr>
                <w:rFonts w:ascii="Times New Roman" w:eastAsia="Times New Roman" w:hAnsi="Times New Roman" w:cs="Times New Roman"/>
                <w:sz w:val="24"/>
                <w:szCs w:val="24"/>
              </w:rPr>
              <w:t>acije</w:t>
            </w:r>
            <w:r w:rsidR="00491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0311A22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  <w:p w14:paraId="66C4495D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Oblici rada</w:t>
            </w:r>
          </w:p>
          <w:p w14:paraId="133F6BC6" w14:textId="725FD274" w:rsidR="00491F9F" w:rsidRPr="00491F9F" w:rsidRDefault="00491F9F" w:rsidP="00C74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frontalni rad, samostalni rad</w:t>
            </w:r>
          </w:p>
        </w:tc>
      </w:tr>
    </w:tbl>
    <w:p w14:paraId="09F44FF8" w14:textId="77777777" w:rsidR="00FD3CC2" w:rsidRDefault="00FD3CC2" w:rsidP="00491F9F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FD3CC2" w14:paraId="444B0618" w14:textId="77777777" w:rsidTr="00C749B3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CA39A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Nastavna sredstva i pomagala</w:t>
            </w:r>
          </w:p>
          <w:p w14:paraId="060D38DC" w14:textId="4B4B17EC" w:rsidR="00491F9F" w:rsidRPr="00491F9F" w:rsidRDefault="006F1EDD" w:rsidP="00C749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PPT prezentacija</w:t>
            </w:r>
            <w:r w:rsidR="00491F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projektor</w:t>
            </w:r>
            <w:r w:rsidR="00491F9F">
              <w:rPr>
                <w:rFonts w:ascii="Times New Roman" w:eastAsia="Times New Roman" w:hAnsi="Times New Roman" w:cs="Times New Roman"/>
                <w:sz w:val="24"/>
                <w:szCs w:val="24"/>
              </w:rPr>
              <w:t>, udžbenik,</w:t>
            </w:r>
            <w:r w:rsidR="00165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radni listić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91F9F">
              <w:rPr>
                <w:rFonts w:ascii="Times New Roman" w:eastAsia="Times New Roman" w:hAnsi="Times New Roman" w:cs="Times New Roman"/>
                <w:sz w:val="24"/>
                <w:szCs w:val="24"/>
              </w:rPr>
              <w:t>radna bilježnica</w:t>
            </w:r>
            <w:r w:rsidR="00165F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</w:tbl>
    <w:p w14:paraId="0D35AD13" w14:textId="77777777" w:rsidR="00FD3CC2" w:rsidRDefault="00FD3CC2" w:rsidP="00FD3CC2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FD3CC2" w14:paraId="4F70F284" w14:textId="77777777" w:rsidTr="00C749B3">
        <w:tc>
          <w:tcPr>
            <w:tcW w:w="9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6A06" w14:textId="77777777" w:rsidR="00FD3CC2" w:rsidRDefault="00FD3CC2" w:rsidP="00C749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Popis literature i izvora za učitelja/nastavnika</w:t>
            </w:r>
          </w:p>
          <w:p w14:paraId="521943E4" w14:textId="77777777" w:rsidR="0036552A" w:rsidRPr="00CF1396" w:rsidRDefault="0036552A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F1396">
              <w:rPr>
                <w:rFonts w:ascii="Times New Roman" w:hAnsi="Times New Roman" w:cs="Times New Roman"/>
              </w:rPr>
              <w:t xml:space="preserve">Nejašmić, I., 2006: </w:t>
            </w:r>
            <w:r w:rsidRPr="00CF1396">
              <w:rPr>
                <w:rFonts w:ascii="Times New Roman" w:hAnsi="Times New Roman" w:cs="Times New Roman"/>
                <w:i/>
              </w:rPr>
              <w:t>Demogeografija</w:t>
            </w:r>
            <w:r w:rsidRPr="00CF1396">
              <w:rPr>
                <w:rFonts w:ascii="Times New Roman" w:hAnsi="Times New Roman" w:cs="Times New Roman"/>
              </w:rPr>
              <w:t>, Školska knjiga, Zagreb.</w:t>
            </w:r>
          </w:p>
          <w:p w14:paraId="11026B12" w14:textId="77777777" w:rsidR="0036552A" w:rsidRPr="00CF1396" w:rsidRDefault="0036552A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F1396">
              <w:rPr>
                <w:rFonts w:ascii="Times New Roman" w:hAnsi="Times New Roman" w:cs="Times New Roman"/>
              </w:rPr>
              <w:t xml:space="preserve">Magaš, D., 2013: </w:t>
            </w:r>
            <w:r w:rsidRPr="00CF1396">
              <w:rPr>
                <w:rFonts w:ascii="Times New Roman" w:hAnsi="Times New Roman" w:cs="Times New Roman"/>
                <w:i/>
              </w:rPr>
              <w:t>Geografija Hrvatske</w:t>
            </w:r>
            <w:r w:rsidRPr="00CF1396">
              <w:rPr>
                <w:rFonts w:ascii="Times New Roman" w:hAnsi="Times New Roman" w:cs="Times New Roman"/>
              </w:rPr>
              <w:t>, Meridijani, Samobor.</w:t>
            </w:r>
          </w:p>
          <w:p w14:paraId="24D242C5" w14:textId="77777777" w:rsidR="0036552A" w:rsidRDefault="0036552A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F1396">
              <w:rPr>
                <w:rFonts w:ascii="Times New Roman" w:hAnsi="Times New Roman" w:cs="Times New Roman"/>
              </w:rPr>
              <w:t xml:space="preserve">Wertheimer-Baletić, A., 2017: </w:t>
            </w:r>
            <w:r w:rsidRPr="00CF1396">
              <w:rPr>
                <w:rFonts w:ascii="Times New Roman" w:hAnsi="Times New Roman" w:cs="Times New Roman"/>
                <w:i/>
              </w:rPr>
              <w:t xml:space="preserve">Demografska teorija, razvoj stanovništva Hrvatske i populacijska politika, </w:t>
            </w:r>
            <w:r w:rsidRPr="00CF1396">
              <w:rPr>
                <w:rFonts w:ascii="Times New Roman" w:hAnsi="Times New Roman" w:cs="Times New Roman"/>
              </w:rPr>
              <w:t>Meridijani, Samobor.</w:t>
            </w:r>
          </w:p>
          <w:p w14:paraId="31584002" w14:textId="77777777" w:rsidR="00CF1396" w:rsidRPr="00CF1396" w:rsidRDefault="00CF1396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F1396">
              <w:rPr>
                <w:rFonts w:ascii="Times New Roman" w:hAnsi="Times New Roman" w:cs="Times New Roman"/>
              </w:rPr>
              <w:t xml:space="preserve">Rijavec, M., Miljković, D.,  2015: </w:t>
            </w:r>
            <w:r w:rsidRPr="00CF1396">
              <w:rPr>
                <w:rFonts w:ascii="Times New Roman" w:hAnsi="Times New Roman" w:cs="Times New Roman"/>
                <w:i/>
              </w:rPr>
              <w:t>Pozitivna disciplina u razredu</w:t>
            </w:r>
            <w:r w:rsidRPr="00CF1396">
              <w:rPr>
                <w:rFonts w:ascii="Times New Roman" w:hAnsi="Times New Roman" w:cs="Times New Roman"/>
              </w:rPr>
              <w:t>, IEP, Zagreb.</w:t>
            </w:r>
          </w:p>
          <w:p w14:paraId="219C484C" w14:textId="77777777" w:rsidR="00CF1396" w:rsidRPr="00CF1396" w:rsidRDefault="00CF1396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F1396">
              <w:rPr>
                <w:rFonts w:ascii="Times New Roman" w:hAnsi="Times New Roman" w:cs="Times New Roman"/>
              </w:rPr>
              <w:t xml:space="preserve">Terhart, E., 2001: </w:t>
            </w:r>
            <w:r w:rsidRPr="00CF1396">
              <w:rPr>
                <w:rFonts w:ascii="Times New Roman" w:hAnsi="Times New Roman" w:cs="Times New Roman"/>
                <w:i/>
              </w:rPr>
              <w:t>Metode poučavanja i učenja</w:t>
            </w:r>
            <w:r w:rsidRPr="00CF1396">
              <w:rPr>
                <w:rFonts w:ascii="Times New Roman" w:hAnsi="Times New Roman" w:cs="Times New Roman"/>
              </w:rPr>
              <w:t>, Educa, Zagreb.</w:t>
            </w:r>
          </w:p>
          <w:p w14:paraId="056A05E6" w14:textId="2CB6CDF3" w:rsidR="00FD3CC2" w:rsidRPr="00CF1396" w:rsidRDefault="0036552A" w:rsidP="00CF139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CF1396">
              <w:rPr>
                <w:rFonts w:ascii="Times New Roman" w:hAnsi="Times New Roman" w:cs="Times New Roman"/>
              </w:rPr>
              <w:t>Popis stanovništva, kućanstva i stanova, 20</w:t>
            </w:r>
            <w:r w:rsidR="00165F69">
              <w:rPr>
                <w:rFonts w:ascii="Times New Roman" w:hAnsi="Times New Roman" w:cs="Times New Roman"/>
              </w:rPr>
              <w:t>2</w:t>
            </w:r>
            <w:r w:rsidRPr="00CF1396">
              <w:rPr>
                <w:rFonts w:ascii="Times New Roman" w:hAnsi="Times New Roman" w:cs="Times New Roman"/>
              </w:rPr>
              <w:t>1.</w:t>
            </w:r>
            <w:r w:rsidR="00CF1396" w:rsidRPr="00CF1396">
              <w:rPr>
                <w:rFonts w:ascii="Times New Roman" w:hAnsi="Times New Roman" w:cs="Times New Roman"/>
              </w:rPr>
              <w:t>, DZS</w:t>
            </w:r>
          </w:p>
        </w:tc>
      </w:tr>
    </w:tbl>
    <w:p w14:paraId="3B148101" w14:textId="77777777" w:rsidR="00FD3CC2" w:rsidRDefault="00FD3CC2" w:rsidP="00FD3CC2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9493"/>
      </w:tblGrid>
      <w:tr w:rsidR="00FD3CC2" w14:paraId="3FCE5FAC" w14:textId="77777777" w:rsidTr="003B71DE">
        <w:tc>
          <w:tcPr>
            <w:tcW w:w="9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CF0B" w14:textId="77777777" w:rsidR="00FD3CC2" w:rsidRDefault="00FD3CC2" w:rsidP="00C74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Popis priloga (koji nisu upisani u nastavna sredstva i pomagala)</w:t>
            </w:r>
          </w:p>
          <w:p w14:paraId="20049E02" w14:textId="2DD4367D" w:rsidR="00064423" w:rsidRDefault="00064423" w:rsidP="00C74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Prilog 1. </w:t>
            </w:r>
            <w:r w:rsidR="006F1E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Radni listić </w:t>
            </w:r>
          </w:p>
          <w:p w14:paraId="6C2E715D" w14:textId="77777777" w:rsidR="00116E97" w:rsidRDefault="00116E97" w:rsidP="00C74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8A4DA2" w14:textId="77777777" w:rsidR="00116E97" w:rsidRDefault="00116E97" w:rsidP="00C10F4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0613C738" w14:textId="77777777" w:rsidR="00902C8C" w:rsidRDefault="00902C8C" w:rsidP="00165F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392964" w14:textId="77777777" w:rsidR="00F23E68" w:rsidRDefault="00F23E68"/>
    <w:sectPr w:rsidR="00F23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75D9D"/>
    <w:multiLevelType w:val="multilevel"/>
    <w:tmpl w:val="10F4BF20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21C7046F"/>
    <w:multiLevelType w:val="multilevel"/>
    <w:tmpl w:val="6E205292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4D7F4F74"/>
    <w:multiLevelType w:val="hybridMultilevel"/>
    <w:tmpl w:val="5FA80D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E21ACB"/>
    <w:multiLevelType w:val="hybridMultilevel"/>
    <w:tmpl w:val="4FB2C8B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94C74"/>
    <w:multiLevelType w:val="hybridMultilevel"/>
    <w:tmpl w:val="508209A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8212B"/>
    <w:multiLevelType w:val="multilevel"/>
    <w:tmpl w:val="69BE3006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6" w15:restartNumberingAfterBreak="0">
    <w:nsid w:val="60085008"/>
    <w:multiLevelType w:val="multilevel"/>
    <w:tmpl w:val="0FCEB762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7" w15:restartNumberingAfterBreak="0">
    <w:nsid w:val="6F6129E5"/>
    <w:multiLevelType w:val="hybridMultilevel"/>
    <w:tmpl w:val="3908693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A4C63"/>
    <w:multiLevelType w:val="hybridMultilevel"/>
    <w:tmpl w:val="938007F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CC2"/>
    <w:rsid w:val="00064423"/>
    <w:rsid w:val="000A1AEF"/>
    <w:rsid w:val="000A2542"/>
    <w:rsid w:val="00116E97"/>
    <w:rsid w:val="00137B2B"/>
    <w:rsid w:val="00145006"/>
    <w:rsid w:val="00165F69"/>
    <w:rsid w:val="001A04D4"/>
    <w:rsid w:val="001E0854"/>
    <w:rsid w:val="001E1CC9"/>
    <w:rsid w:val="00215389"/>
    <w:rsid w:val="00272270"/>
    <w:rsid w:val="002C11BD"/>
    <w:rsid w:val="002C1B31"/>
    <w:rsid w:val="002C3AB0"/>
    <w:rsid w:val="002C3F76"/>
    <w:rsid w:val="003026C5"/>
    <w:rsid w:val="00320FED"/>
    <w:rsid w:val="00350692"/>
    <w:rsid w:val="0036552A"/>
    <w:rsid w:val="00382B65"/>
    <w:rsid w:val="00387E96"/>
    <w:rsid w:val="003B71DE"/>
    <w:rsid w:val="004137C9"/>
    <w:rsid w:val="00416AAE"/>
    <w:rsid w:val="00491F9F"/>
    <w:rsid w:val="00505CDB"/>
    <w:rsid w:val="00534D03"/>
    <w:rsid w:val="005838BD"/>
    <w:rsid w:val="00625FBC"/>
    <w:rsid w:val="006704A3"/>
    <w:rsid w:val="006E032D"/>
    <w:rsid w:val="006F1EDD"/>
    <w:rsid w:val="006F465C"/>
    <w:rsid w:val="00700F99"/>
    <w:rsid w:val="007F20FA"/>
    <w:rsid w:val="00805312"/>
    <w:rsid w:val="008702BF"/>
    <w:rsid w:val="00881EC3"/>
    <w:rsid w:val="00902C8C"/>
    <w:rsid w:val="00946749"/>
    <w:rsid w:val="00991413"/>
    <w:rsid w:val="00A01C94"/>
    <w:rsid w:val="00A041D0"/>
    <w:rsid w:val="00A765D5"/>
    <w:rsid w:val="00AE3F92"/>
    <w:rsid w:val="00B55060"/>
    <w:rsid w:val="00B55E29"/>
    <w:rsid w:val="00BD706B"/>
    <w:rsid w:val="00C10F48"/>
    <w:rsid w:val="00CB16C4"/>
    <w:rsid w:val="00CD48E3"/>
    <w:rsid w:val="00CF1396"/>
    <w:rsid w:val="00CF19D1"/>
    <w:rsid w:val="00D00BCF"/>
    <w:rsid w:val="00D17099"/>
    <w:rsid w:val="00D27D83"/>
    <w:rsid w:val="00E310F7"/>
    <w:rsid w:val="00E8355C"/>
    <w:rsid w:val="00EB233C"/>
    <w:rsid w:val="00EB5885"/>
    <w:rsid w:val="00EC2CD0"/>
    <w:rsid w:val="00ED6AB7"/>
    <w:rsid w:val="00F23E68"/>
    <w:rsid w:val="00F55247"/>
    <w:rsid w:val="00FB0397"/>
    <w:rsid w:val="00FD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A3BA3"/>
  <w15:chartTrackingRefBased/>
  <w15:docId w15:val="{D1878979-CF7B-4139-8054-5DE0941F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D3CC2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D3CC2"/>
    <w:pPr>
      <w:ind w:left="720"/>
      <w:contextualSpacing/>
    </w:pPr>
  </w:style>
  <w:style w:type="table" w:styleId="Reetkatablice">
    <w:name w:val="Table Grid"/>
    <w:basedOn w:val="Obinatablica"/>
    <w:uiPriority w:val="39"/>
    <w:rsid w:val="00C10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1E1CC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1145</Words>
  <Characters>6532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Kuštek</dc:creator>
  <cp:keywords/>
  <dc:description/>
  <cp:lastModifiedBy>Šimun Nejašmić</cp:lastModifiedBy>
  <cp:revision>5</cp:revision>
  <dcterms:created xsi:type="dcterms:W3CDTF">2024-08-20T16:46:00Z</dcterms:created>
  <dcterms:modified xsi:type="dcterms:W3CDTF">2024-08-22T08:20:00Z</dcterms:modified>
</cp:coreProperties>
</file>