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00F" w:rsidRPr="00937A06" w:rsidRDefault="0089600F" w:rsidP="0089600F">
      <w:pPr>
        <w:jc w:val="center"/>
        <w:rPr>
          <w:rFonts w:ascii="Times New Roman" w:hAnsi="Times New Roman" w:cs="Times New Roman"/>
          <w:b/>
          <w:smallCaps/>
          <w:sz w:val="28"/>
          <w:u w:val="single"/>
        </w:rPr>
      </w:pPr>
      <w:r w:rsidRPr="00937A06">
        <w:rPr>
          <w:rFonts w:ascii="Times New Roman" w:hAnsi="Times New Roman" w:cs="Times New Roman"/>
          <w:b/>
          <w:smallCaps/>
          <w:sz w:val="28"/>
          <w:u w:val="single"/>
        </w:rPr>
        <w:t>Elementi, načini i kriterij ocjenjivanja u nastavi matematike</w:t>
      </w:r>
    </w:p>
    <w:p w:rsidR="00511FDB" w:rsidRPr="00511FDB" w:rsidRDefault="00511FDB" w:rsidP="0089600F">
      <w:pPr>
        <w:jc w:val="center"/>
        <w:rPr>
          <w:rFonts w:ascii="Times New Roman" w:hAnsi="Times New Roman" w:cs="Times New Roman"/>
          <w:smallCaps/>
          <w:sz w:val="24"/>
        </w:rPr>
      </w:pPr>
    </w:p>
    <w:p w:rsidR="00FD5764" w:rsidRPr="0089600F" w:rsidRDefault="0089600F">
      <w:pPr>
        <w:rPr>
          <w:rFonts w:ascii="Times New Roman" w:hAnsi="Times New Roman" w:cs="Times New Roman"/>
          <w:b/>
          <w:smallCaps/>
          <w:sz w:val="24"/>
        </w:rPr>
      </w:pPr>
      <w:r w:rsidRPr="0089600F">
        <w:rPr>
          <w:rFonts w:ascii="Times New Roman" w:hAnsi="Times New Roman" w:cs="Times New Roman"/>
          <w:b/>
          <w:smallCaps/>
          <w:sz w:val="24"/>
        </w:rPr>
        <w:t>Usvojenost, razumijevanje i primjena nastavnih sadržaja</w:t>
      </w:r>
    </w:p>
    <w:p w:rsidR="0089600F" w:rsidRDefault="00985187" w:rsidP="00DE188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Provjera znanja </w:t>
      </w:r>
      <w:r w:rsidR="00BB710D">
        <w:rPr>
          <w:rFonts w:ascii="Times New Roman" w:hAnsi="Times New Roman" w:cs="Times New Roman"/>
          <w:sz w:val="24"/>
        </w:rPr>
        <w:t>nakon nekoliko nastavnih jedinica vrši se uz pomoć „kartica“.</w:t>
      </w:r>
    </w:p>
    <w:p w:rsidR="00BB710D" w:rsidRDefault="0032454A" w:rsidP="00DE188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BB710D">
        <w:rPr>
          <w:rFonts w:ascii="Times New Roman" w:hAnsi="Times New Roman" w:cs="Times New Roman"/>
          <w:sz w:val="24"/>
        </w:rPr>
        <w:t>čiteljica učenicima ponudi „kartice“ na kojima se nalaze zadatci razvrstani po težini tj. posloženi od zadataka za ocjenu dovoljan (2) do ocjene odličan (5).</w:t>
      </w:r>
    </w:p>
    <w:p w:rsidR="00BB710D" w:rsidRDefault="00DE1889" w:rsidP="00DE188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Učenik sam izabire „karticu“ za koju smatra da odgovara njegovoj razini znanja. Nakon rješavanja z</w:t>
      </w:r>
      <w:r w:rsidR="0032454A">
        <w:rPr>
          <w:rFonts w:ascii="Times New Roman" w:hAnsi="Times New Roman" w:cs="Times New Roman"/>
          <w:sz w:val="24"/>
        </w:rPr>
        <w:t>adataka, učenik dolazi u</w:t>
      </w:r>
      <w:r>
        <w:rPr>
          <w:rFonts w:ascii="Times New Roman" w:hAnsi="Times New Roman" w:cs="Times New Roman"/>
          <w:sz w:val="24"/>
        </w:rPr>
        <w:t xml:space="preserve">čiteljici da pregleda zadatke. Učenik ima pravo jednom doći na pregled. Ukoliko je učenik točno riješio zadatke, ima mogućnost uzeti „karticu“ </w:t>
      </w:r>
      <w:r w:rsidR="00324C66">
        <w:rPr>
          <w:rFonts w:ascii="Times New Roman" w:hAnsi="Times New Roman" w:cs="Times New Roman"/>
          <w:sz w:val="24"/>
        </w:rPr>
        <w:t>za veću ocjenu. Ako učenik u jednom školskom satu ne uspije riješiti zadatke s odabrane „kartice“, dobiva ocjenu nedovoljan (1). Učenik ima pravo odgovarati „pred pločom“, ukoliko ne želi uz pomoć „kartica“.</w:t>
      </w:r>
    </w:p>
    <w:p w:rsidR="00324C66" w:rsidRDefault="0032454A" w:rsidP="00DE188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</w:t>
      </w:r>
      <w:r w:rsidR="00324C66">
        <w:rPr>
          <w:rFonts w:ascii="Times New Roman" w:hAnsi="Times New Roman" w:cs="Times New Roman"/>
          <w:sz w:val="24"/>
        </w:rPr>
        <w:t xml:space="preserve">čiteljica ima pravo bez najave ispitati učenika „pred pločom“, te na taj način provjeriti znanje. </w:t>
      </w:r>
    </w:p>
    <w:p w:rsidR="00204940" w:rsidRDefault="00204940" w:rsidP="00DE188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Ukoliko učenik pokaže </w:t>
      </w:r>
      <w:r w:rsidR="00F0551B">
        <w:rPr>
          <w:rFonts w:ascii="Times New Roman" w:hAnsi="Times New Roman" w:cs="Times New Roman"/>
          <w:sz w:val="24"/>
        </w:rPr>
        <w:t>znanje na nastavi</w:t>
      </w:r>
      <w:r w:rsidR="00A02801">
        <w:rPr>
          <w:rFonts w:ascii="Times New Roman" w:hAnsi="Times New Roman" w:cs="Times New Roman"/>
          <w:sz w:val="24"/>
        </w:rPr>
        <w:t xml:space="preserve"> ili u grupnom radu</w:t>
      </w:r>
      <w:r w:rsidR="00F0551B">
        <w:rPr>
          <w:rFonts w:ascii="Times New Roman" w:hAnsi="Times New Roman" w:cs="Times New Roman"/>
          <w:sz w:val="24"/>
        </w:rPr>
        <w:t xml:space="preserve">, učitelj/učiteljica </w:t>
      </w:r>
      <w:r w:rsidR="00A02801">
        <w:rPr>
          <w:rFonts w:ascii="Times New Roman" w:hAnsi="Times New Roman" w:cs="Times New Roman"/>
          <w:sz w:val="24"/>
        </w:rPr>
        <w:t>unosi ocjenu u ovu rubriku.</w:t>
      </w:r>
    </w:p>
    <w:p w:rsidR="00937A06" w:rsidRDefault="00937A06" w:rsidP="00937A06">
      <w:pPr>
        <w:pStyle w:val="Odlomakpopisa"/>
        <w:jc w:val="both"/>
        <w:rPr>
          <w:rFonts w:ascii="Times New Roman" w:hAnsi="Times New Roman" w:cs="Times New Roman"/>
          <w:sz w:val="24"/>
        </w:rPr>
      </w:pPr>
    </w:p>
    <w:p w:rsidR="00937A06" w:rsidRPr="009F4C7A" w:rsidRDefault="00937A06" w:rsidP="00937A06">
      <w:pPr>
        <w:pStyle w:val="Odlomakpopisa"/>
        <w:jc w:val="both"/>
        <w:rPr>
          <w:rFonts w:ascii="Times New Roman" w:hAnsi="Times New Roman" w:cs="Times New Roman"/>
          <w:sz w:val="24"/>
        </w:rPr>
      </w:pPr>
    </w:p>
    <w:p w:rsidR="0089600F" w:rsidRPr="0089600F" w:rsidRDefault="0089600F">
      <w:pPr>
        <w:rPr>
          <w:rFonts w:ascii="Times New Roman" w:hAnsi="Times New Roman" w:cs="Times New Roman"/>
          <w:b/>
          <w:smallCaps/>
          <w:sz w:val="24"/>
        </w:rPr>
      </w:pPr>
      <w:r w:rsidRPr="0089600F">
        <w:rPr>
          <w:rFonts w:ascii="Times New Roman" w:hAnsi="Times New Roman" w:cs="Times New Roman"/>
          <w:b/>
          <w:smallCaps/>
          <w:sz w:val="24"/>
        </w:rPr>
        <w:t>Primjena znanja – ispiti znanja</w:t>
      </w:r>
    </w:p>
    <w:p w:rsidR="00B35E56" w:rsidRPr="00343049" w:rsidRDefault="001F5A5B" w:rsidP="001F5A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Ispitima</w:t>
      </w:r>
      <w:r w:rsidR="00FA2316" w:rsidRPr="00343049">
        <w:rPr>
          <w:rFonts w:ascii="Times New Roman" w:hAnsi="Times New Roman" w:cs="Times New Roman"/>
          <w:sz w:val="24"/>
        </w:rPr>
        <w:t xml:space="preserve"> znanja utvrđuje se relativno postignuće učenika u odnosu na učinak ostalih članova razrednog </w:t>
      </w:r>
      <w:r w:rsidR="00985187">
        <w:rPr>
          <w:rFonts w:ascii="Times New Roman" w:hAnsi="Times New Roman" w:cs="Times New Roman"/>
          <w:sz w:val="24"/>
        </w:rPr>
        <w:t>odjela, te se pišu na kraju nastavne cjeline.</w:t>
      </w:r>
    </w:p>
    <w:p w:rsidR="00FF783A" w:rsidRPr="002F6E69" w:rsidRDefault="00FF783A" w:rsidP="002F6E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Ispiti znanja</w:t>
      </w:r>
      <w:r w:rsidR="00FA2316" w:rsidRPr="00343049">
        <w:rPr>
          <w:rFonts w:ascii="Times New Roman" w:hAnsi="Times New Roman" w:cs="Times New Roman"/>
          <w:sz w:val="24"/>
        </w:rPr>
        <w:t xml:space="preserve"> ocjenjuju se na osnovi post</w:t>
      </w:r>
      <w:r w:rsidR="002F6E69">
        <w:rPr>
          <w:rFonts w:ascii="Times New Roman" w:hAnsi="Times New Roman" w:cs="Times New Roman"/>
          <w:sz w:val="24"/>
        </w:rPr>
        <w:t>ignutog broja točnih rezultata.</w:t>
      </w:r>
    </w:p>
    <w:p w:rsidR="00B35E56" w:rsidRDefault="00FA2316" w:rsidP="001F5A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43049">
        <w:rPr>
          <w:rFonts w:ascii="Times New Roman" w:hAnsi="Times New Roman" w:cs="Times New Roman"/>
          <w:sz w:val="24"/>
        </w:rPr>
        <w:t>Razinu složenosti zadataka nastavnik prema vlastitom nahođenju izražava bodovima. Broj bodova je osnovica za određivanje brojčane ocjene.</w:t>
      </w:r>
      <w:r w:rsidR="002F6E69">
        <w:rPr>
          <w:rFonts w:ascii="Times New Roman" w:hAnsi="Times New Roman" w:cs="Times New Roman"/>
          <w:sz w:val="24"/>
        </w:rPr>
        <w:t xml:space="preserve"> Kriterij za dobivanje brojčane ocjene dan je tablicom: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6E69" w:rsidTr="00B04520">
        <w:trPr>
          <w:jc w:val="center"/>
        </w:trPr>
        <w:tc>
          <w:tcPr>
            <w:tcW w:w="1812" w:type="dxa"/>
          </w:tcPr>
          <w:p w:rsidR="002F6E69" w:rsidRDefault="002F6E69" w:rsidP="00B04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Nedovoljan (1)</w:t>
            </w:r>
          </w:p>
        </w:tc>
        <w:tc>
          <w:tcPr>
            <w:tcW w:w="1812" w:type="dxa"/>
          </w:tcPr>
          <w:p w:rsidR="002F6E69" w:rsidRDefault="002F6E69" w:rsidP="00B04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Dovoljan (2)</w:t>
            </w:r>
          </w:p>
        </w:tc>
        <w:tc>
          <w:tcPr>
            <w:tcW w:w="1812" w:type="dxa"/>
          </w:tcPr>
          <w:p w:rsidR="002F6E69" w:rsidRDefault="002F6E69" w:rsidP="00B04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Dobar (3)</w:t>
            </w:r>
          </w:p>
        </w:tc>
        <w:tc>
          <w:tcPr>
            <w:tcW w:w="1813" w:type="dxa"/>
          </w:tcPr>
          <w:p w:rsidR="002F6E69" w:rsidRDefault="002F6E69" w:rsidP="00B04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Vrlodobar(4)</w:t>
            </w:r>
          </w:p>
        </w:tc>
        <w:tc>
          <w:tcPr>
            <w:tcW w:w="1813" w:type="dxa"/>
          </w:tcPr>
          <w:p w:rsidR="002F6E69" w:rsidRDefault="002F6E69" w:rsidP="00B04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Odličan (5)</w:t>
            </w:r>
          </w:p>
        </w:tc>
      </w:tr>
      <w:tr w:rsidR="002F6E69" w:rsidTr="00B04520">
        <w:trPr>
          <w:jc w:val="center"/>
        </w:trPr>
        <w:tc>
          <w:tcPr>
            <w:tcW w:w="1812" w:type="dxa"/>
          </w:tcPr>
          <w:p w:rsidR="002F6E69" w:rsidRDefault="002F6E69" w:rsidP="00B04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– 45%</w:t>
            </w:r>
          </w:p>
        </w:tc>
        <w:tc>
          <w:tcPr>
            <w:tcW w:w="1812" w:type="dxa"/>
          </w:tcPr>
          <w:p w:rsidR="002F6E69" w:rsidRDefault="002F6E69" w:rsidP="00B04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46% - 60% </w:t>
            </w:r>
          </w:p>
        </w:tc>
        <w:tc>
          <w:tcPr>
            <w:tcW w:w="1812" w:type="dxa"/>
          </w:tcPr>
          <w:p w:rsidR="002F6E69" w:rsidRDefault="002F6E69" w:rsidP="00B04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61% - 75%</w:t>
            </w:r>
          </w:p>
        </w:tc>
        <w:tc>
          <w:tcPr>
            <w:tcW w:w="1813" w:type="dxa"/>
          </w:tcPr>
          <w:p w:rsidR="002F6E69" w:rsidRDefault="002F6E69" w:rsidP="00B04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76% - 87%</w:t>
            </w:r>
          </w:p>
        </w:tc>
        <w:tc>
          <w:tcPr>
            <w:tcW w:w="1813" w:type="dxa"/>
          </w:tcPr>
          <w:p w:rsidR="002F6E69" w:rsidRDefault="002F6E69" w:rsidP="00B04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88% - 100%</w:t>
            </w:r>
          </w:p>
        </w:tc>
      </w:tr>
    </w:tbl>
    <w:p w:rsidR="002F6E69" w:rsidRPr="00343049" w:rsidRDefault="002F6E69" w:rsidP="002F6E69">
      <w:pPr>
        <w:rPr>
          <w:rFonts w:ascii="Times New Roman" w:hAnsi="Times New Roman" w:cs="Times New Roman"/>
          <w:sz w:val="24"/>
        </w:rPr>
      </w:pPr>
    </w:p>
    <w:p w:rsidR="00B35E56" w:rsidRDefault="00FA2316" w:rsidP="000C76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43049">
        <w:rPr>
          <w:rFonts w:ascii="Times New Roman" w:hAnsi="Times New Roman" w:cs="Times New Roman"/>
          <w:sz w:val="24"/>
        </w:rPr>
        <w:lastRenderedPageBreak/>
        <w:t>Prilikom zaključivanja ocjene svih 5 ili 6 pismenih ispita moraju biti pozitivno ocijenjene da bi zaključna ocjena bila pozitivna.</w:t>
      </w:r>
    </w:p>
    <w:p w:rsidR="00533077" w:rsidRDefault="002F6E69" w:rsidP="0053307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Ukoliko je ocjena iz ispita znanja </w:t>
      </w:r>
      <w:r w:rsidR="00937A06">
        <w:rPr>
          <w:rFonts w:ascii="Times New Roman" w:hAnsi="Times New Roman" w:cs="Times New Roman"/>
          <w:sz w:val="24"/>
        </w:rPr>
        <w:t>nedovoljan (1)</w:t>
      </w:r>
      <w:r>
        <w:rPr>
          <w:rFonts w:ascii="Times New Roman" w:hAnsi="Times New Roman" w:cs="Times New Roman"/>
          <w:sz w:val="24"/>
        </w:rPr>
        <w:t xml:space="preserve">, učenik je obvezan „ispraviti“ ocjenu. </w:t>
      </w:r>
      <w:r w:rsidR="00CB2209">
        <w:rPr>
          <w:rFonts w:ascii="Times New Roman" w:hAnsi="Times New Roman" w:cs="Times New Roman"/>
          <w:sz w:val="24"/>
        </w:rPr>
        <w:t>Učenik „ispravlja“ ocjen</w:t>
      </w:r>
      <w:r w:rsidR="00824BD2">
        <w:rPr>
          <w:rFonts w:ascii="Times New Roman" w:hAnsi="Times New Roman" w:cs="Times New Roman"/>
          <w:sz w:val="24"/>
        </w:rPr>
        <w:t xml:space="preserve">u na način da se javi </w:t>
      </w:r>
      <w:r w:rsidR="00CB2209">
        <w:rPr>
          <w:rFonts w:ascii="Times New Roman" w:hAnsi="Times New Roman" w:cs="Times New Roman"/>
          <w:sz w:val="24"/>
        </w:rPr>
        <w:t>učiteljici te piše ispit znanja sa sličnim zadatcima iz „</w:t>
      </w:r>
      <w:r w:rsidR="003C6C12">
        <w:rPr>
          <w:rFonts w:ascii="Times New Roman" w:hAnsi="Times New Roman" w:cs="Times New Roman"/>
          <w:sz w:val="24"/>
        </w:rPr>
        <w:t>originalnog</w:t>
      </w:r>
      <w:r w:rsidR="00CB2209">
        <w:rPr>
          <w:rFonts w:ascii="Times New Roman" w:hAnsi="Times New Roman" w:cs="Times New Roman"/>
          <w:sz w:val="24"/>
        </w:rPr>
        <w:t>“ testa.</w:t>
      </w:r>
      <w:r w:rsidR="003C6C12">
        <w:rPr>
          <w:rFonts w:ascii="Times New Roman" w:hAnsi="Times New Roman" w:cs="Times New Roman"/>
          <w:sz w:val="24"/>
        </w:rPr>
        <w:t xml:space="preserve"> </w:t>
      </w:r>
      <w:r w:rsidR="00533077">
        <w:rPr>
          <w:rFonts w:ascii="Times New Roman" w:hAnsi="Times New Roman" w:cs="Times New Roman"/>
          <w:sz w:val="24"/>
        </w:rPr>
        <w:t>Učenici koju su dobili ocjenu 2, 3 ili 4 također imaju mogućnost ispravaka</w:t>
      </w:r>
      <w:r w:rsidR="00BF5012">
        <w:rPr>
          <w:rFonts w:ascii="Times New Roman" w:hAnsi="Times New Roman" w:cs="Times New Roman"/>
          <w:sz w:val="24"/>
        </w:rPr>
        <w:t xml:space="preserve"> ukoliko nisu zadovoljni ocjenom.</w:t>
      </w:r>
    </w:p>
    <w:p w:rsidR="0089600F" w:rsidRDefault="00D941A7" w:rsidP="009F4C7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„Ispravljena“ ocjena i prvobitna ocjena se pri zaključivanju obje uzimaju u obzir.</w:t>
      </w:r>
    </w:p>
    <w:p w:rsidR="009F4C7A" w:rsidRDefault="009F4C7A" w:rsidP="009F4C7A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937A06" w:rsidRDefault="00937A06" w:rsidP="009F4C7A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937A06" w:rsidRDefault="00937A06" w:rsidP="009F4C7A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937A06" w:rsidRPr="009F4C7A" w:rsidRDefault="00937A06" w:rsidP="009F4C7A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89600F" w:rsidRDefault="0089600F">
      <w:pPr>
        <w:rPr>
          <w:rFonts w:ascii="Times New Roman" w:hAnsi="Times New Roman" w:cs="Times New Roman"/>
          <w:b/>
          <w:smallCaps/>
          <w:sz w:val="24"/>
        </w:rPr>
      </w:pPr>
      <w:r w:rsidRPr="0089600F">
        <w:rPr>
          <w:rFonts w:ascii="Times New Roman" w:hAnsi="Times New Roman" w:cs="Times New Roman"/>
          <w:b/>
          <w:smallCaps/>
          <w:sz w:val="24"/>
        </w:rPr>
        <w:t>Primjena i usvojenost nastavnih sadržaja – samostalan rad učenika, domaća zadaća</w:t>
      </w:r>
    </w:p>
    <w:p w:rsidR="009D53DA" w:rsidRPr="00E6272E" w:rsidRDefault="00624805" w:rsidP="00F515D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Budući da se domaća zadaća </w:t>
      </w:r>
      <w:r w:rsidR="00A02801" w:rsidRPr="00E6272E">
        <w:rPr>
          <w:rFonts w:ascii="Times New Roman" w:hAnsi="Times New Roman" w:cs="Times New Roman"/>
          <w:sz w:val="24"/>
        </w:rPr>
        <w:t xml:space="preserve">može prepisati, u ovu se rubriku </w:t>
      </w:r>
      <w:r w:rsidR="00A02801" w:rsidRPr="00E6272E">
        <w:rPr>
          <w:rFonts w:ascii="Times New Roman" w:hAnsi="Times New Roman" w:cs="Times New Roman"/>
          <w:b/>
          <w:bCs/>
          <w:sz w:val="24"/>
        </w:rPr>
        <w:t>ne</w:t>
      </w:r>
      <w:r w:rsidR="00A02801" w:rsidRPr="00E6272E">
        <w:rPr>
          <w:rFonts w:ascii="Times New Roman" w:hAnsi="Times New Roman" w:cs="Times New Roman"/>
          <w:sz w:val="24"/>
        </w:rPr>
        <w:t xml:space="preserve"> upisuju ocjene iz jednostavno </w:t>
      </w:r>
      <w:r>
        <w:rPr>
          <w:rFonts w:ascii="Times New Roman" w:hAnsi="Times New Roman" w:cs="Times New Roman"/>
          <w:sz w:val="24"/>
        </w:rPr>
        <w:t>pregledane domaće zadaće</w:t>
      </w:r>
      <w:r w:rsidR="00A02801" w:rsidRPr="00E6272E">
        <w:rPr>
          <w:rFonts w:ascii="Times New Roman" w:hAnsi="Times New Roman" w:cs="Times New Roman"/>
          <w:sz w:val="24"/>
        </w:rPr>
        <w:t xml:space="preserve">. To znanje je posljedica učenikove pažnje na satu i samostalnog rada (utvrđivanja gradiva) kod kuće tj. pisanja domaćih zadaća. </w:t>
      </w:r>
    </w:p>
    <w:p w:rsidR="009D53DA" w:rsidRPr="00E6272E" w:rsidRDefault="00824BD2" w:rsidP="00F515D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A02801" w:rsidRPr="00E6272E">
        <w:rPr>
          <w:rFonts w:ascii="Times New Roman" w:hAnsi="Times New Roman" w:cs="Times New Roman"/>
          <w:sz w:val="24"/>
        </w:rPr>
        <w:t>čiteljica nakon svake 2 – 3 nastavne jedinice daje učenicima domaće zadaće za ocjenu, te nakon završene cjeline aritmetičkom sredinom se dobiva ocjena, te su upisuje u rubriku.</w:t>
      </w:r>
    </w:p>
    <w:p w:rsidR="009D53DA" w:rsidRPr="00F515DF" w:rsidRDefault="00A02801" w:rsidP="00F515D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6272E">
        <w:rPr>
          <w:rFonts w:ascii="Times New Roman" w:hAnsi="Times New Roman" w:cs="Times New Roman"/>
          <w:sz w:val="24"/>
        </w:rPr>
        <w:t xml:space="preserve">Na svakom satu matematike, pregledava se domaća zadaća koja je zadana prethodni sat. </w:t>
      </w:r>
      <w:r w:rsidRPr="00F515DF">
        <w:rPr>
          <w:rFonts w:ascii="Times New Roman" w:hAnsi="Times New Roman" w:cs="Times New Roman"/>
          <w:sz w:val="24"/>
        </w:rPr>
        <w:t>Ukoliko uč</w:t>
      </w:r>
      <w:r w:rsidR="000A5838">
        <w:rPr>
          <w:rFonts w:ascii="Times New Roman" w:hAnsi="Times New Roman" w:cs="Times New Roman"/>
          <w:sz w:val="24"/>
        </w:rPr>
        <w:t xml:space="preserve">enik nema domaću zadaću, </w:t>
      </w:r>
      <w:bookmarkStart w:id="0" w:name="_GoBack"/>
      <w:bookmarkEnd w:id="0"/>
      <w:r w:rsidR="00F515DF">
        <w:rPr>
          <w:rFonts w:ascii="Times New Roman" w:hAnsi="Times New Roman" w:cs="Times New Roman"/>
          <w:sz w:val="24"/>
        </w:rPr>
        <w:t>učiteljica</w:t>
      </w:r>
      <w:r w:rsidRPr="00F515DF">
        <w:rPr>
          <w:rFonts w:ascii="Times New Roman" w:hAnsi="Times New Roman" w:cs="Times New Roman"/>
          <w:sz w:val="24"/>
        </w:rPr>
        <w:t xml:space="preserve"> bilježi  - (minus), te nakon skupljenih 5 minusa upisuje negativnu ocjenu u rubriku.</w:t>
      </w:r>
    </w:p>
    <w:p w:rsidR="00F960DA" w:rsidRPr="00B23F5C" w:rsidRDefault="00BC35DE" w:rsidP="00854E4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z w:val="24"/>
        </w:rPr>
        <w:t xml:space="preserve">Pod samostalan rad podrazumijeva se </w:t>
      </w:r>
      <w:r w:rsidR="001B356D">
        <w:rPr>
          <w:rFonts w:ascii="Times New Roman" w:hAnsi="Times New Roman" w:cs="Times New Roman"/>
          <w:sz w:val="24"/>
        </w:rPr>
        <w:t>samostalna izrada prezentacija</w:t>
      </w:r>
      <w:r w:rsidR="00DC3756">
        <w:rPr>
          <w:rFonts w:ascii="Times New Roman" w:hAnsi="Times New Roman" w:cs="Times New Roman"/>
          <w:sz w:val="24"/>
        </w:rPr>
        <w:t xml:space="preserve"> ili plakata</w:t>
      </w:r>
      <w:r w:rsidR="00824BD2">
        <w:rPr>
          <w:rFonts w:ascii="Times New Roman" w:hAnsi="Times New Roman" w:cs="Times New Roman"/>
          <w:sz w:val="24"/>
        </w:rPr>
        <w:t xml:space="preserve"> koje </w:t>
      </w:r>
      <w:r w:rsidR="002F5729">
        <w:rPr>
          <w:rFonts w:ascii="Times New Roman" w:hAnsi="Times New Roman" w:cs="Times New Roman"/>
          <w:sz w:val="24"/>
        </w:rPr>
        <w:t>učiteljica ponudi učenicima, te samostalan rad na satu.</w:t>
      </w:r>
    </w:p>
    <w:p w:rsidR="00B23F5C" w:rsidRDefault="00B23F5C" w:rsidP="00B23F5C">
      <w:pPr>
        <w:jc w:val="both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t>Zaključna ocjena iz matematike slijedi iz aritmetičke sredine svih ocjena dobivenih tijekom školske godine ukoliko su svi kriteriji zadovoljeni.</w:t>
      </w:r>
    </w:p>
    <w:p w:rsidR="00937A06" w:rsidRPr="00B23F5C" w:rsidRDefault="00937A06" w:rsidP="00B23F5C">
      <w:pPr>
        <w:jc w:val="both"/>
        <w:rPr>
          <w:rFonts w:ascii="Times New Roman" w:hAnsi="Times New Roman" w:cs="Times New Roman"/>
          <w:smallCaps/>
          <w:sz w:val="24"/>
        </w:rPr>
      </w:pPr>
    </w:p>
    <w:sectPr w:rsidR="00937A06" w:rsidRPr="00B23F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00F" w:rsidRDefault="0089600F" w:rsidP="0089600F">
      <w:pPr>
        <w:spacing w:after="0" w:line="240" w:lineRule="auto"/>
      </w:pPr>
      <w:r>
        <w:separator/>
      </w:r>
    </w:p>
  </w:endnote>
  <w:endnote w:type="continuationSeparator" w:id="0">
    <w:p w:rsidR="0089600F" w:rsidRDefault="0089600F" w:rsidP="0089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00F" w:rsidRDefault="0089600F" w:rsidP="0089600F">
      <w:pPr>
        <w:spacing w:after="0" w:line="240" w:lineRule="auto"/>
      </w:pPr>
      <w:r>
        <w:separator/>
      </w:r>
    </w:p>
  </w:footnote>
  <w:footnote w:type="continuationSeparator" w:id="0">
    <w:p w:rsidR="0089600F" w:rsidRDefault="0089600F" w:rsidP="0089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00F" w:rsidRPr="0089600F" w:rsidRDefault="0089600F">
    <w:pPr>
      <w:pStyle w:val="Zaglavlje"/>
      <w:rPr>
        <w:rFonts w:ascii="Times New Roman" w:hAnsi="Times New Roman" w:cs="Times New Roman"/>
        <w:sz w:val="24"/>
      </w:rPr>
    </w:pPr>
    <w:r w:rsidRPr="0089600F">
      <w:rPr>
        <w:rFonts w:ascii="Times New Roman" w:hAnsi="Times New Roman" w:cs="Times New Roman"/>
        <w:sz w:val="24"/>
      </w:rPr>
      <w:t>Šk. god. 2017./2018.g.</w:t>
    </w:r>
  </w:p>
  <w:p w:rsidR="0089600F" w:rsidRDefault="008960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198E"/>
    <w:multiLevelType w:val="hybridMultilevel"/>
    <w:tmpl w:val="12B2A1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5783"/>
    <w:multiLevelType w:val="hybridMultilevel"/>
    <w:tmpl w:val="0568B066"/>
    <w:lvl w:ilvl="0" w:tplc="38F67E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A7F97"/>
    <w:multiLevelType w:val="hybridMultilevel"/>
    <w:tmpl w:val="385CB2FA"/>
    <w:lvl w:ilvl="0" w:tplc="38F67E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F2723"/>
    <w:multiLevelType w:val="hybridMultilevel"/>
    <w:tmpl w:val="543841F4"/>
    <w:lvl w:ilvl="0" w:tplc="8DD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02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29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CC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CC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6E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01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2E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20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7233EFF"/>
    <w:multiLevelType w:val="hybridMultilevel"/>
    <w:tmpl w:val="E9783276"/>
    <w:lvl w:ilvl="0" w:tplc="38F67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A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09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88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41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42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A1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09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E7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0F"/>
    <w:rsid w:val="000A5838"/>
    <w:rsid w:val="000C7657"/>
    <w:rsid w:val="00196BCB"/>
    <w:rsid w:val="001B356D"/>
    <w:rsid w:val="001F5A5B"/>
    <w:rsid w:val="00204940"/>
    <w:rsid w:val="002F5729"/>
    <w:rsid w:val="002F6E69"/>
    <w:rsid w:val="0032454A"/>
    <w:rsid w:val="00324C66"/>
    <w:rsid w:val="00343049"/>
    <w:rsid w:val="00346986"/>
    <w:rsid w:val="003C6C12"/>
    <w:rsid w:val="003F1503"/>
    <w:rsid w:val="00511FDB"/>
    <w:rsid w:val="00533077"/>
    <w:rsid w:val="00624805"/>
    <w:rsid w:val="006C36AD"/>
    <w:rsid w:val="00751C26"/>
    <w:rsid w:val="00764B7E"/>
    <w:rsid w:val="00824BD2"/>
    <w:rsid w:val="00854E4A"/>
    <w:rsid w:val="0089600F"/>
    <w:rsid w:val="00937A06"/>
    <w:rsid w:val="00985187"/>
    <w:rsid w:val="009D53DA"/>
    <w:rsid w:val="009F4C7A"/>
    <w:rsid w:val="00A02801"/>
    <w:rsid w:val="00B23F5C"/>
    <w:rsid w:val="00B35E56"/>
    <w:rsid w:val="00B52728"/>
    <w:rsid w:val="00BB710D"/>
    <w:rsid w:val="00BC35DE"/>
    <w:rsid w:val="00BF5012"/>
    <w:rsid w:val="00C568EB"/>
    <w:rsid w:val="00CB2209"/>
    <w:rsid w:val="00D941A7"/>
    <w:rsid w:val="00DC3756"/>
    <w:rsid w:val="00DE1889"/>
    <w:rsid w:val="00E6272E"/>
    <w:rsid w:val="00F0551B"/>
    <w:rsid w:val="00F515DF"/>
    <w:rsid w:val="00F960DA"/>
    <w:rsid w:val="00FA2316"/>
    <w:rsid w:val="00FD5764"/>
    <w:rsid w:val="00FE4F5F"/>
    <w:rsid w:val="00FF04FD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A016"/>
  <w15:chartTrackingRefBased/>
  <w15:docId w15:val="{0A85EB6D-F38B-4133-B3E0-2400224A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600F"/>
  </w:style>
  <w:style w:type="paragraph" w:styleId="Podnoje">
    <w:name w:val="footer"/>
    <w:basedOn w:val="Normal"/>
    <w:link w:val="PodnojeChar"/>
    <w:uiPriority w:val="99"/>
    <w:unhideWhenUsed/>
    <w:rsid w:val="0089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600F"/>
  </w:style>
  <w:style w:type="table" w:styleId="Reetkatablice">
    <w:name w:val="Table Grid"/>
    <w:basedOn w:val="Obinatablica"/>
    <w:uiPriority w:val="39"/>
    <w:rsid w:val="00FF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6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Han</dc:creator>
  <cp:keywords/>
  <dc:description/>
  <cp:lastModifiedBy>Ivona Han</cp:lastModifiedBy>
  <cp:revision>43</cp:revision>
  <dcterms:created xsi:type="dcterms:W3CDTF">2017-09-21T08:00:00Z</dcterms:created>
  <dcterms:modified xsi:type="dcterms:W3CDTF">2017-09-23T15:21:00Z</dcterms:modified>
</cp:coreProperties>
</file>